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aps/>
          <w:color w:val="1F497D"/>
          <w:sz w:val="18"/>
        </w:rPr>
        <w:t>RATIO  •  Approfondimenti per Professionisti e Imprese</w:t>
      </w:r>
    </w:p>
    <w:p>
      <w:pPr>
        <w:spacing w:after="40" w:before="40"/>
        <w:pBdr>
          <w:bottom w:val="single" w:sz="6" w:space="1" w:color="1F497D"/>
        </w:pBdr>
      </w:pPr>
    </w:p>
    <w:p>
      <w:pPr>
        <w:jc w:val="right"/>
      </w:pPr>
      <w:r>
        <w:rPr>
          <w:rFonts w:ascii="Calibri" w:hAnsi="Calibri"/>
          <w:i/>
          <w:color w:val="606060"/>
          <w:sz w:val="17"/>
        </w:rPr>
        <w:t>Aprile 2026  |  Economia e Gestione d’Impresa</w:t>
      </w:r>
    </w:p>
    <w:p/>
    <w:p>
      <w:pPr>
        <w:spacing w:after="120"/>
        <w:jc w:val="left"/>
      </w:pPr>
      <w:r>
        <w:rPr>
          <w:rFonts w:ascii="Calibri" w:hAnsi="Calibri"/>
          <w:b/>
          <w:color w:val="1F497D"/>
          <w:sz w:val="44"/>
        </w:rPr>
        <w:t>Quanto vale davvero l’AI per le PMI italiane: ROI, numeri e aspettative reali</w:t>
      </w:r>
    </w:p>
    <w:p>
      <w:pPr>
        <w:spacing w:after="200"/>
        <w:jc w:val="left"/>
      </w:pPr>
      <w:r>
        <w:rPr>
          <w:rFonts w:ascii="Calibri" w:hAnsi="Calibri"/>
          <w:i/>
          <w:color w:val="2E74B5"/>
          <w:sz w:val="26"/>
        </w:rPr>
        <w:t>Le promesse sull’intelligenza artificiale sono spesso ottimistiche. I risultati reali nelle PMI italiane lo sono di meno, ma restano significativi. Una lettura dei dati disponibili per aiutare imprenditori e consulenti a ragionare con i numeri in mano.</w:t>
      </w:r>
    </w:p>
    <w:p>
      <w:pPr>
        <w:spacing w:after="40" w:before="40"/>
        <w:pBdr>
          <w:bottom w:val="single" w:sz="6" w:space="1" w:color="1F497D"/>
        </w:pBdr>
      </w:pPr>
    </w:p>
    <w:p>
      <w:pPr>
        <w:spacing w:after="320"/>
        <w:jc w:val="left"/>
      </w:pPr>
      <w:r>
        <w:rPr>
          <w:rFonts w:ascii="Calibri" w:hAnsi="Calibri"/>
          <w:color w:val="808060"/>
          <w:sz w:val="18"/>
        </w:rPr>
        <w:t>A cura della Redazione Ratio  •  17 aprile 2026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Circola un numero che viene citato spesso nei convegni sull’AI: +37% di produttività. Lo si attribuisce, secondo i contesti, a ricerche di McKinsey, Gartner o ai fornitori stessi di software AI. Il problema di questo numero è che raramente viene contestualizzato: +37% rispetto a cosa, in quale settore, con quale definizione di produttività, in quali condizioni di adozione. Questo non significa che sia falso. Significa che per un imprenditore o un consulente che deve prendere decisioni concrete, non è sufficiente.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Proviamo allora a guardare i dati con un po’ più di granularità, concentrandoci sul contesto italiano e sulle PMI. Secondo l’elaborazione Istat del primo trimestre 2026, il 16,4% delle aziende italiane con più di dieci dipendenti ha adottato soluzioni AI nel 2025. Ma la quota delle PMI con meno di cinquanta dipendenti che utilizza AI in modo sistematico è stimata intorno al 7-8%. Il gap tra adozione dichiarata e utilizzo effettivo è ampio, e dipende da fattori che hanno poco a che fare con la tecnologia: competenze interne, cultura aziendale, capacità di misurare i risultati.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6"/>
        </w:rPr>
        <w:t>I settori dove il ROI è più documentato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I dati di ritorno sull’investimento più affidabili per le PMI italiane provengono da tre aree funzionali. La prima è il customer service: le aziende che hanno implementato chatbot e agenti AI per la gestione delle richieste in ingresso riportano una riduzione del carico sugli operatori umani tra il 40% e il 65%, con tempi di risposta medi scesi da ore a minuti. Il beneficio è misurabile direttamente: meno ore di lavoro umano per pratica gestita, maggiore soddisfazione del cliente misurata con NPS.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La seconda area è la gestione documentale e la contabilità. Le aziende che hanno adottato software con AI integrata per la categorizzazione delle fatture, la riconciliazione bancaria e il controllo degli adempimenti riportano riduzioni del tempo dedicato a queste operazioni nell’ordine del 30-50%. Il dato è coerente con le stime dei principali fornitori di software gestionale italiani e con le valutazioni della Fondazione Nazionale di Ricerca dei Commercialisti. La terza area è il marketing: l’AI per la generazione di contenuti, la segmentazione della clientela e la personalizzazione delle comunicazioni mostra ritorni più variabili, ma con picchi significativi nelle aziende che avevano gap strutturali nella produzione di contenuti.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6"/>
        </w:rPr>
        <w:t>Dove il ROI è più lento del previsto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Esiste una categoria di investimenti AI dove il ritorno è reale ma richiede più tempo del previsto: i sistemi di analisi predittiva e business intelligence. Molte PMI italiane hanno acquistato strumenti di questo tipo convinte di ottenere insight utili in poche settimane. La realtà è che questi sistemi richiedono dati storici strutturati, integrazione con le fonti esistenti, e un periodo di calibrazione che può durare mesi. Senza un’architettura dati di base sufficientemente ordinata, il modello AI produce output inaffidabili, e il ROI si allontana.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Un secondo ostacolo documentato è il cosiddetto “AI adoption gap”: il divario tra la disponibilità dello strumento e la capacità del personale di usarlo efficacemente. Secondo l’OCSE, il 46% dei lavoratori italiani necessita di aggiornamento delle competenze per restare competitivo. Nelle PMI, dove la formazione è spesso trattata come un costo discrezionale, lo strumento AI acquistato viene sottoutilizzato perché nessuno in azienda sa sfruttarne le funzioni più avanzate. Il risultato è un ROI apparentemente basso che in realtà è un problema di implementazione, non di tecnologia.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6"/>
        </w:rPr>
        <w:t>Come calcolare il ROI prima di investire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La valutazione corretta di un investimento AI parte dall’identificazione del processo da automatizzare, non dalla tecnologia. Il punto di partenza utile è una stima del costo attuale del processo: quante ore di lavoro richiede, con quale frequenza, con quale margine di errore. A partire da questa base, è possibile stimare il risparmio atteso dall’automazione, confrontarlo con il costo del software (licenza, implementazione, formazione, manutenzione) e calcolare il tempo di ritorno dell’investimento.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Un calcolo di questo tipo porta spesso a conclusioni diverse da quelle che si ottengono leggendo i white paper dei fornitori. Può rivelare che un investimento apparentemente costoso ha un payback molto rapido, perché il processo che automatizza è un collo di bottiglia critico. Oppure può mostrare che uno strumento economico non vale la pena perché il processo che automatizza è già efficiente. La chiarezza sui numeri è il prerequisito per qualsiasi decisione razionale sull’AI in azienda.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6"/>
        </w:rPr>
        <w:t>Il ruolo del consulente nella valutazione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Il commercialista e il consulente aziendale hanno un ruolo specifico in questa fase di adozione dell’AI nelle PMI italiane: quello di aiutare l’imprenditore a fare domande giuste. Non “quale AI devo comprare”, ma “quale problema voglio risolvere, quanto mi costa oggi, e quanto sono disposto a investire per risolverlo”. Non “l’AI aumenterà la mia produttività”, ma “in quale funzione, misurata come, rispetto a quale baseline”.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Le aziende italiane che hanno ottenuto i risultati migliori dall’AI sono quelle che hanno avviato l’adozione con un progetto pilota circoscritto, misurato i risultati con KPI definiti prima dell’implementazione, e scalato solo dopo aver validato i dati. È un approccio meno spettacolare di quello che si legge nei comunicati stampa, ma è quello che funziona. E il professionista che sa accompagnare un cliente in questo percorso offre un valore che nessun software può sostituire.</w:t>
      </w:r>
    </w:p>
    <w:p>
      <w:pPr>
        <w:spacing w:after="40" w:before="40"/>
        <w:pBdr>
          <w:bottom w:val="single" w:sz="6" w:space="1" w:color="1F497D"/>
        </w:pBdr>
      </w:pPr>
    </w:p>
    <w:p>
      <w:pPr>
        <w:spacing w:before="200"/>
      </w:pPr>
      <w:r>
        <w:rPr>
          <w:rFonts w:ascii="Calibri" w:hAnsi="Calibri"/>
          <w:b/>
          <w:color w:val="606060"/>
          <w:sz w:val="18"/>
        </w:rPr>
        <w:t>Fonti e riferimenti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Istat — Indagine sull’adozione dell’AI nelle imprese italiane, Q1 2026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Fondazione Nazionale di Ricerca dei Commercialisti — Indagine sull’uso dell’AI negli studi professionali, luglio-settembre 2025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OCSE — Competenze e mercato del lavoro nell’era dell’intelligenza artificiale (2025)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AI4Business — AI 2026: l’anno dell’adozione sistemica e delle scelte irreversibili nelle aziende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Kinetikon — Agenti IA nelle PMI italiane: adozione e casi d’uso (2026)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Cosmonet — AI Agent Italia 2026: la rivoluzione degli assistenti virtuali per le aziende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Economy Magazine — La grande nuova frontiera dell’AI per le aziende (2026)</w:t>
      </w:r>
    </w:p>
    <w:p>
      <w:pPr>
        <w:spacing w:before="320"/>
        <w:jc w:val="center"/>
      </w:pPr>
      <w:r>
        <w:rPr>
          <w:rFonts w:ascii="Calibri" w:hAnsi="Calibri"/>
          <w:i/>
          <w:color w:val="A0A0A0"/>
          <w:sz w:val="16"/>
        </w:rPr>
        <w:t>© 2026 Ratio  •  Riproduzione consentita con citazione della fonte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