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Normativa AI</w:t>
      </w:r>
    </w:p>
    <w:p/>
    <w:p>
      <w:pPr>
        <w:spacing w:after="120"/>
        <w:jc w:val="left"/>
      </w:pPr>
      <w:r>
        <w:rPr>
          <w:rFonts w:ascii="Calibri" w:hAnsi="Calibri"/>
          <w:b/>
          <w:color w:val="1F497D"/>
          <w:sz w:val="48"/>
        </w:rPr>
        <w:t>Il rinvio non cancella gli obblighi.</w:t>
        <w:br/>
        <w:t>Ecco cosa resta ad agosto.</w:t>
      </w:r>
    </w:p>
    <w:p>
      <w:pPr>
        <w:spacing w:after="200"/>
        <w:jc w:val="left"/>
      </w:pPr>
      <w:r>
        <w:rPr>
          <w:rFonts w:ascii="Calibri" w:hAnsi="Calibri"/>
          <w:i/>
          <w:color w:val="2E74B5"/>
          <w:sz w:val="26"/>
        </w:rPr>
        <w:t>Il 7 maggio l'accordo Omnibus ha spostato al dicembre 2027 le scadenze per i sistemi AI ad alto rischio. Per molte imprese italiane, la notizia ha generato un rilassamento prematuro. Gli obblighi di agosto rimangono, e quelli della Legge 132 non li ha toccati nessuno.</w:t>
      </w:r>
    </w:p>
    <w:p>
      <w:pPr>
        <w:spacing w:after="40" w:before="40"/>
        <w:pBdr>
          <w:bottom w:val="single" w:sz="6" w:space="1" w:color="1F497D"/>
        </w:pBdr>
      </w:pPr>
    </w:p>
    <w:p>
      <w:pPr>
        <w:spacing w:after="320"/>
        <w:jc w:val="left"/>
      </w:pPr>
      <w:r>
        <w:rPr>
          <w:rFonts w:ascii="Calibri" w:hAnsi="Calibri"/>
          <w:color w:val="808080"/>
          <w:sz w:val="18"/>
        </w:rPr>
        <w:t>A cura della Redazione Ratio  •  19 giugno 2026</w:t>
      </w:r>
    </w:p>
    <w:p>
      <w:pPr>
        <w:spacing w:after="160" w:line="320" w:lineRule="exact"/>
        <w:jc w:val="both"/>
      </w:pPr>
      <w:r>
        <w:rPr>
          <w:rFonts w:ascii="Calibri" w:hAnsi="Calibri"/>
          <w:sz w:val="22"/>
        </w:rPr>
        <w:t>A meta' maggio molte imprese italiane hanno letto una notizia che sembrava positiva: la Commissione Europea e il Parlamento avevano raggiunto un accordo sull'AI Omnibus che spostava le scadenze per i sistemi AI classificati ad alto rischio dal 2 agosto 2026 al dicembre 2027. Sedici mesi in piu'. Per molte imprese, e per molti consulenti che le assistono, questo ha significato allentare la pressione sui progetti di compliance. Se il termine si allunga, il problema puo' aspettare. Questa lettura e' comprensibile, ma e' imprecisa, e l'imprecisione ha conseguenze pratiche che conviene conoscere prima di agosto.</w:t>
      </w:r>
    </w:p>
    <w:p>
      <w:pPr>
        <w:spacing w:after="160" w:line="320" w:lineRule="exact"/>
        <w:jc w:val="both"/>
      </w:pPr>
      <w:r>
        <w:rPr>
          <w:rFonts w:ascii="Calibri" w:hAnsi="Calibri"/>
          <w:sz w:val="22"/>
        </w:rPr>
        <w:t>L'accordo Omnibus del 7 maggio 2026 e' il risultato di un percorso politico che ha visto la Commissione confrontarsi con le pressioni delle industrie, degli stati membri piu' attenti alla competitivita' e del nuovo contesto geopolitico che vede gli USA ridurre le proprie restrizioni sull'AI verso i paesi alleati. Le modifiche approvate sono reali e rilevanti. I sistemi AI classificati ad alto rischio dall'Allegato III del regolamento, che includono quelli usati nella selezione del personale, nel credito, nella gestione delle infrastrutture critiche, non dovranno essere conformi ai requisiti documentali e di supervisione umana previsti dal regolamento fino al 2 dicembre 2027. Le esenzioni per le PMI sono state estese alle cosiddette small mid-caps, cioe' le aziende con meno di 500 dipendenti e fatturato fino a 100 milioni di euro.</w:t>
      </w:r>
    </w:p>
    <w:p>
      <w:pPr>
        <w:spacing w:before="280" w:after="120"/>
      </w:pPr>
      <w:r>
        <w:rPr>
          <w:rFonts w:ascii="Calibri" w:hAnsi="Calibri"/>
          <w:b/>
          <w:color w:val="1F497D"/>
          <w:sz w:val="24"/>
        </w:rPr>
        <w:t>Gli obblighi di agosto che sono rimasti intatti</w:t>
      </w:r>
    </w:p>
    <w:p>
      <w:pPr>
        <w:spacing w:after="160" w:line="320" w:lineRule="exact"/>
        <w:jc w:val="both"/>
      </w:pPr>
      <w:r>
        <w:rPr>
          <w:rFonts w:ascii="Calibri" w:hAnsi="Calibri"/>
          <w:sz w:val="22"/>
        </w:rPr>
        <w:t>La proroga riguarda pero' solo i sistemi ad alto rischio. Gli obblighi di trasparenza previsti dall'articolo 50 del Regolamento UE, che entrano in vigore il 2 agosto 2026, non sono stati toccati dall'accordo Omnibus. Dal 2 agosto, qualsiasi sistema di IA che interagisce con persone fisiche, come un chatbot sul sito aziendale o un assistente virtuale al telefono, deve comunicare all'utente che sta interagendo con un sistema automatizzato, a meno che non sia gia' ovvio dal contesto. I contenuti generati da AI destinati al pubblico devono essere identificabili come tali in formato leggibile da macchina. I deepfake con persone reali devono portare un'etichetta visibile. Queste norme si applicano a tutte le imprese, indipendentemente dalle dimensioni.</w:t>
      </w:r>
    </w:p>
    <w:p>
      <w:pPr>
        <w:spacing w:after="160" w:line="320" w:lineRule="exact"/>
        <w:jc w:val="both"/>
      </w:pPr>
      <w:r>
        <w:rPr>
          <w:rFonts w:ascii="Calibri" w:hAnsi="Calibri"/>
          <w:sz w:val="22"/>
        </w:rPr>
        <w:t>Secondo le stime dell'Osservatorio Digital Innovation del Politecnico di Milano, piu' del 40% delle imprese italiane con sito web usa oggi qualche forma di chatbot o assistente automatizzato per il primo contatto con i clienti. Per molte di queste imprese, agosto non e' una scadenza astratta: e' la data entro cui il chatbot deve dichiarare di essere un chatbot. Chi non si e' ancora mosso ha meno di cinquanta giorni. La questione non richiede una consulenza specialistica per essere risolta: richiede che qualcuno in azienda sappia quali strumenti AI sono in uso e verifichi se rispettano i requisiti minimi di trasparenza verso gli utenti.</w:t>
      </w:r>
    </w:p>
    <w:p>
      <w:pPr>
        <w:spacing w:before="280" w:after="120"/>
      </w:pPr>
      <w:r>
        <w:rPr>
          <w:rFonts w:ascii="Calibri" w:hAnsi="Calibri"/>
          <w:b/>
          <w:color w:val="1F497D"/>
          <w:sz w:val="24"/>
        </w:rPr>
        <w:t>Il livello aggiuntivo della Legge 132</w:t>
      </w:r>
    </w:p>
    <w:p>
      <w:pPr>
        <w:spacing w:after="160" w:line="320" w:lineRule="exact"/>
        <w:jc w:val="both"/>
      </w:pPr>
      <w:r>
        <w:rPr>
          <w:rFonts w:ascii="Calibri" w:hAnsi="Calibri"/>
          <w:sz w:val="22"/>
        </w:rPr>
        <w:t>Per le imprese italiane, a rendere il quadro ulteriormente articolato c'e' la Legge n. 132/2025, la legge nazionale sull'intelligenza artificiale entrata in vigore il 10 ottobre 2025. A differenza del regolamento europeo, la legge italiana non e' stata modificata dall'accordo Omnibus: gli obblighi che introduce rimangono con le loro scadenze originali. Il piu' rilevante per studi professionali e aziende e' quello dell'AI literacy: a partire dal 1 agosto 2026, i datori di lavoro devono garantire che i dipendenti che usano sistemi AI nell'attivita' lavorativa abbiano ricevuto una formazione adeguata, proporzionata al livello di interazione con lo strumento. La formazione non puo' essere generica: deve riguardare gli strumenti specificamente in uso e le loro limitazioni operative.</w:t>
      </w:r>
    </w:p>
    <w:p>
      <w:pPr>
        <w:spacing w:after="160" w:line="320" w:lineRule="exact"/>
        <w:jc w:val="both"/>
      </w:pPr>
      <w:r>
        <w:rPr>
          <w:rFonts w:ascii="Calibri" w:hAnsi="Calibri"/>
          <w:sz w:val="22"/>
        </w:rPr>
        <w:t>La legge introduce poi il principio antropocentrico, gia' chiarito dai decreti attuativi approvati il 10 giugno: l'AI supporta il professionista nel giudizio, non lo sostituisce. Chi usa uno strumento AI per produrre documenti, pareri o comunicazioni destinate a clienti deve essere in grado di spiegare come e' stato usato e con quale supervisione. L'Italia si trova in una posizione singolare: ha anticipato l'Europa con una legge nazionale, e questa legge non e' stata alleggerita dal processo di revisione europeo. Le imprese italiane operano con un doppio regime normativo che il rinvio dell'Omnibus non ha modificato.</w:t>
      </w:r>
    </w:p>
    <w:p>
      <w:pPr>
        <w:spacing w:after="160" w:line="320" w:lineRule="exact"/>
        <w:jc w:val="both"/>
      </w:pPr>
      <w:r>
        <w:rPr>
          <w:rFonts w:ascii="Calibri" w:hAnsi="Calibri"/>
          <w:sz w:val="22"/>
        </w:rPr>
        <w:t>La mappa degli obblighi che si applica a un'impresa italiana nel 2026 e' piu' articolata di quanto una singola notizia sul rinvio possa far sembrare. La domanda utile non e' 'quando e' la scadenza?' ma 'quali obblighi si applicano alla mia situazione specifica?'. Quella mappatura richiede di distinguere il tipo di sistema AI in uso, il ruolo dell'impresa come provider o deployer, e le norme applicabili sia a livello europeo sia a livello nazionale. Chi ha gia' avviato questa ricognizione si trova in una posizione migliore, non perche' debba necessariamente consegnare un documento entro agosto, ma perche' capisce il proprio profilo di rischio e sa su quali aspetti concentrare l'attenzione nei mesi successivi.</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DeepElse Blog — 'AI Act Omnibus, accordo del 7 maggio 2026: cosa cambia per le aziende italiane'</w:t>
      </w:r>
    </w:p>
    <w:p>
      <w:pPr>
        <w:spacing w:after="40"/>
      </w:pPr>
      <w:r>
        <w:rPr>
          <w:rFonts w:ascii="Calibri" w:hAnsi="Calibri"/>
          <w:color w:val="606060"/>
          <w:sz w:val="17"/>
        </w:rPr>
        <w:t>• Tom's Hardware — 'AI Act rinviato al 2027, ma le norme sulla trasparenza partono subito'</w:t>
      </w:r>
    </w:p>
    <w:p>
      <w:pPr>
        <w:spacing w:after="40"/>
      </w:pPr>
      <w:r>
        <w:rPr>
          <w:rFonts w:ascii="Calibri" w:hAnsi="Calibri"/>
          <w:color w:val="606060"/>
          <w:sz w:val="17"/>
        </w:rPr>
        <w:t>• Agenda Digitale — 'Obblighi di trasparenza AI Act: cosa devono fare le aziende dal 2 agosto 2026'</w:t>
      </w:r>
    </w:p>
    <w:p>
      <w:pPr>
        <w:spacing w:after="40"/>
      </w:pPr>
      <w:r>
        <w:rPr>
          <w:rFonts w:ascii="Calibri" w:hAnsi="Calibri"/>
          <w:color w:val="606060"/>
          <w:sz w:val="17"/>
        </w:rPr>
        <w:t>• Money.it — 'Dal 2 agosto chi usa l'AI deve dirlo. Cosa cambia per le imprese italiane con l'AI Act'</w:t>
      </w:r>
    </w:p>
    <w:p>
      <w:pPr>
        <w:spacing w:after="40"/>
      </w:pPr>
      <w:r>
        <w:rPr>
          <w:rFonts w:ascii="Calibri" w:hAnsi="Calibri"/>
          <w:color w:val="606060"/>
          <w:sz w:val="17"/>
        </w:rPr>
        <w:t>• AiPolicy.it — 'Rinvio AI Act: nuove scadenze 2027-2028 per PMI'</w:t>
      </w:r>
    </w:p>
    <w:p>
      <w:pPr>
        <w:spacing w:after="40"/>
      </w:pPr>
      <w:r>
        <w:rPr>
          <w:rFonts w:ascii="Calibri" w:hAnsi="Calibri"/>
          <w:color w:val="606060"/>
          <w:sz w:val="17"/>
        </w:rPr>
        <w:t>• Key4biz — 'AI Act, l'Ue prende tempo e rinvia gli obblighi per i sistemi ad alto rischio'</w:t>
      </w:r>
    </w:p>
    <w:p>
      <w:pPr>
        <w:spacing w:after="40"/>
      </w:pPr>
      <w:r>
        <w:rPr>
          <w:rFonts w:ascii="Calibri" w:hAnsi="Calibri"/>
          <w:color w:val="606060"/>
          <w:sz w:val="17"/>
        </w:rPr>
        <w:t>• Legge 23 settembre 2025, n. 132 sull'intelligenza artificiale — Normattiva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