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Strategia AI</w:t>
      </w:r>
    </w:p>
    <w:p/>
    <w:p>
      <w:pPr>
        <w:spacing w:after="120"/>
        <w:jc w:val="left"/>
      </w:pPr>
      <w:r>
        <w:rPr>
          <w:rFonts w:ascii="Calibri" w:hAnsi="Calibri"/>
          <w:b/>
          <w:color w:val="1F497D"/>
          <w:sz w:val="48"/>
        </w:rPr>
        <w:t>Quando l'agente AI decide da solo:</w:t>
        <w:br/>
        <w:t>i rischi che non si stanno calcolando.</w:t>
      </w:r>
    </w:p>
    <w:p>
      <w:pPr>
        <w:spacing w:after="200"/>
        <w:jc w:val="left"/>
      </w:pPr>
      <w:r>
        <w:rPr>
          <w:rFonts w:ascii="Calibri" w:hAnsi="Calibri"/>
          <w:i/>
          <w:color w:val="2E74B5"/>
          <w:sz w:val="26"/>
        </w:rPr>
        <w:t>Gli agenti AI possono gestire email, aggiornare gestionali, inviare preventivi e aprire ticket senza supervisione umana. La produttivita' promessa e' reale. Ma la struttura del rischio e' diversa da qualsiasi altro strumento digitale che le imprese hanno adottato finora.</w:t>
      </w:r>
    </w:p>
    <w:p>
      <w:pPr>
        <w:spacing w:after="40" w:before="40"/>
        <w:pBdr>
          <w:bottom w:val="single" w:sz="6" w:space="1" w:color="1F497D"/>
        </w:pBdr>
      </w:pPr>
    </w:p>
    <w:p>
      <w:pPr>
        <w:spacing w:after="320"/>
        <w:jc w:val="left"/>
      </w:pPr>
      <w:r>
        <w:rPr>
          <w:rFonts w:ascii="Calibri" w:hAnsi="Calibri"/>
          <w:color w:val="808080"/>
          <w:sz w:val="18"/>
        </w:rPr>
        <w:t>A cura della Redazione Ratio  •  26 giugno 2026</w:t>
      </w:r>
    </w:p>
    <w:p>
      <w:pPr>
        <w:spacing w:after="160" w:line="320" w:lineRule="exact"/>
        <w:jc w:val="both"/>
      </w:pPr>
      <w:r>
        <w:rPr>
          <w:rFonts w:ascii="Calibri" w:hAnsi="Calibri"/>
          <w:sz w:val="22"/>
        </w:rPr>
        <w:t>Una PMI del settore edile ha configurato a gennaio un agente AI collegato al proprio gestionale per gestire le richieste di preventivo ricevute via email. L'agente legge il messaggio, identifica il tipo di lavoro richiesto, recupera i listini dal gestionale e risponde con un preventivo automatico entro pochi minuti. Per tre mesi ha funzionato bene. Poi, a fine marzo, un cliente ha inviato un'email con una richiesta non standard, formulata in modo ambiguo. L'agente ha interpretato la richiesta, ha costruito un preventivo, lo ha inviato. Il preventivo era sbagliato: includeva una voce di costo errata e impegnava l'impresa su tempi che non corrispondevano alle disponibilita' reali. Il cliente aveva gia' risposto con un'accettazione prima che qualcuno in azienda se ne accorgesse.</w:t>
      </w:r>
    </w:p>
    <w:p>
      <w:pPr>
        <w:spacing w:after="160" w:line="320" w:lineRule="exact"/>
        <w:jc w:val="both"/>
      </w:pPr>
      <w:r>
        <w:rPr>
          <w:rFonts w:ascii="Calibri" w:hAnsi="Calibri"/>
          <w:sz w:val="22"/>
        </w:rPr>
        <w:t>Non e' un caso ipotetico. Varianti di questo scenario si verificano in molte imprese che hanno introdotto agenti AI in produzione senza aver definito con chiarezza dove termina l'autonomia dell'agente e dove inizia la supervisione umana. La quota di imprese italiane con almeno dieci addetti che utilizza almeno una tecnologia di intelligenza artificiale e' oggi al 16,4%, raddoppiata rispetto all'8,2% del 2024. Una parte di questa crescita viene dall'adozione di agenti AI su processi operativi. Il problema e' che la velocita' di deploy sta superando quella con cui le imprese sviluppano i controlli.</w:t>
      </w:r>
    </w:p>
    <w:p>
      <w:pPr>
        <w:spacing w:before="280" w:after="120"/>
      </w:pPr>
      <w:r>
        <w:rPr>
          <w:rFonts w:ascii="Calibri" w:hAnsi="Calibri"/>
          <w:b/>
          <w:color w:val="1F497D"/>
          <w:sz w:val="24"/>
        </w:rPr>
        <w:t>La differenza strutturale rispetto agli strumenti AI passivi</w:t>
      </w:r>
    </w:p>
    <w:p>
      <w:pPr>
        <w:spacing w:after="160" w:line="320" w:lineRule="exact"/>
        <w:jc w:val="both"/>
      </w:pPr>
      <w:r>
        <w:rPr>
          <w:rFonts w:ascii="Calibri" w:hAnsi="Calibri"/>
          <w:sz w:val="22"/>
        </w:rPr>
        <w:t>Un modello AI che risponde alle domande degli utenti, genera testi o analizza documenti e' uno strumento passivo: non fa nulla che l'utente non abbia richiesto esplicitamente. Un agente AI e' diverso: opera in modo autonomo su un insieme di compiti predefiniti, prende decisioni senza attendere conferma per ogni passo, e puo' interagire con sistemi esterni, email, gestionali, CRM, piattaforme di acquisto. Il rischio non e' che l'agente 'si rompa': e' che funzioni esattamente come e' stato configurato, ma in un contesto che non era stato previsto al momento della configurazione.</w:t>
      </w:r>
    </w:p>
    <w:p>
      <w:pPr>
        <w:spacing w:after="160" w:line="320" w:lineRule="exact"/>
        <w:jc w:val="both"/>
      </w:pPr>
      <w:r>
        <w:rPr>
          <w:rFonts w:ascii="Calibri" w:hAnsi="Calibri"/>
          <w:sz w:val="22"/>
        </w:rPr>
        <w:t>Questo trasforma la struttura del rischio in modo significativo. Con uno strumento passivo, l'errore e' quasi sempre visibile prima che produca conseguenze: l'utente legge il testo generato, valuta la risposta, decide se usarla. Con un agente, il ciclo di retroazione e' piu' lungo. L'agente ha gia' agito prima che qualcuno riveda l'output. Se gestisce email, le ha gia' inviate. Se aggiorna un database, i dati sono gia' stati modificati. Se ha aperto un ordine di acquisto, il fornitore ha gia' ricevuto la conferma.</w:t>
      </w:r>
    </w:p>
    <w:p>
      <w:pPr>
        <w:spacing w:before="280" w:after="120"/>
      </w:pPr>
      <w:r>
        <w:rPr>
          <w:rFonts w:ascii="Calibri" w:hAnsi="Calibri"/>
          <w:b/>
          <w:color w:val="1F497D"/>
          <w:sz w:val="24"/>
        </w:rPr>
        <w:t>Le tre categorie di rischio che le imprese stanno sottovalutando</w:t>
      </w:r>
    </w:p>
    <w:p>
      <w:pPr>
        <w:spacing w:after="160" w:line="320" w:lineRule="exact"/>
        <w:jc w:val="both"/>
      </w:pPr>
      <w:r>
        <w:rPr>
          <w:rFonts w:ascii="Calibri" w:hAnsi="Calibri"/>
          <w:sz w:val="22"/>
        </w:rPr>
        <w:t>Il primo e' il rischio di interpretazione. Gli agenti AI sono progettati per completare compiti, non per fermarsi davanti all'ambiguita'. Quando un input non corrisponde ai pattern su cui sono stati configurati, tendono a fare la cosa piu' plausibile invece di chiedere chiarimento. Per un uso esplorativo, un output sbagliato viene semplicemente scartato. In un agente che agisce su sistemi reali, 'la cosa piu' plausibile' puo' generare conseguenze difficili da reversire: un preventivo inviato, un ordine confermato, un'email spedita a un indirizzo sbagliato.</w:t>
      </w:r>
    </w:p>
    <w:p>
      <w:pPr>
        <w:spacing w:after="160" w:line="320" w:lineRule="exact"/>
        <w:jc w:val="both"/>
      </w:pPr>
      <w:r>
        <w:rPr>
          <w:rFonts w:ascii="Calibri" w:hAnsi="Calibri"/>
          <w:sz w:val="22"/>
        </w:rPr>
        <w:t>Il secondo e' il rischio di identita' e credenziali. Ogni agente AI che opera su sistemi aziendali ha bisogno di accesso a quei sistemi, il che significa credenziali, token di autenticazione, permessi. Piu' funzioni si affidano all'agente, piu' permessi accumula. Un agente configurato per gestire email, aggiornare il CRM e accedere al gestionale ha, di fatto, le stesse credenziali di un dipendente con mansioni simili. Se l'account dell'agente viene compromesso, le conseguenze sono quelle di una compromissione di un account aziendale con ampi privilegi. I team di sicurezza che subiscono pressione per il deploy immediato degli agenti senza i controlli necessari stanno gia' segnalando questo come il rischio principale per il 2026.</w:t>
      </w:r>
    </w:p>
    <w:p>
      <w:pPr>
        <w:spacing w:after="160" w:line="320" w:lineRule="exact"/>
        <w:jc w:val="both"/>
      </w:pPr>
      <w:r>
        <w:rPr>
          <w:rFonts w:ascii="Calibri" w:hAnsi="Calibri"/>
          <w:sz w:val="22"/>
        </w:rPr>
        <w:t>Il terzo e' la variabilita' silenziosa del modello sottostante. I provider aggiornano i modelli frequentemente, spesso senza notifica esplicita. Un agente che funziona in modo prevedibile su una versione del modello puo' comportarsi diversamente dopo un aggiornamento silenzioso. Le API di Anthropic e OpenAI consentono di bloccare la versione specifica del modello, ma richiede di gestirla attivamente. Per un processo automatizzato che gestisce comunicazioni o transazioni per conto dell'impresa, la variabilita' del comportamento e' un rischio operativo che va monitorato, non dato per scontato.</w:t>
      </w:r>
    </w:p>
    <w:p>
      <w:pPr>
        <w:spacing w:after="160" w:line="320" w:lineRule="exact"/>
        <w:jc w:val="both"/>
      </w:pPr>
      <w:r>
        <w:rPr>
          <w:rFonts w:ascii="Calibri" w:hAnsi="Calibri"/>
          <w:sz w:val="22"/>
        </w:rPr>
        <w:t>Introdurre un agente AI in un processo aziendale senza aver mappato questi rischi non significa che il problema si verifichera': significa non sapere se si sta verificando. La domanda da farsi prima di mettere un agente in produzione non e' solo 'funziona?' ma 'cosa fa quando riceve un input che non si aspetta?', 'chi vede cosa fa in tempo reale?', 'chi puo' fermarlo?'. Le aziende che rispondono a queste domande prima di avviare trovano i problemi prima che diventino incidenti. Quelle che le affrontano dopo, di solito, lo fanno su un caso concreto.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Tom's Hardware — 'Gli agenti AI sono la nuova minaccia interna per le aziende nel 2026'</w:t>
      </w:r>
    </w:p>
    <w:p>
      <w:pPr>
        <w:spacing w:after="40"/>
      </w:pPr>
      <w:r>
        <w:rPr>
          <w:rFonts w:ascii="Calibri" w:hAnsi="Calibri"/>
          <w:color w:val="606060"/>
          <w:sz w:val="17"/>
        </w:rPr>
        <w:t>• DataMagazine — 'Agenti AI autonomi: opportunita' e rischi della nuova automazione' (marzo 2026)</w:t>
      </w:r>
    </w:p>
    <w:p>
      <w:pPr>
        <w:spacing w:after="40"/>
      </w:pPr>
      <w:r>
        <w:rPr>
          <w:rFonts w:ascii="Calibri" w:hAnsi="Calibri"/>
          <w:color w:val="606060"/>
          <w:sz w:val="17"/>
        </w:rPr>
        <w:t>• DataMagazine — 'Agenti AI e rischi per l'identita': come cambiera' la sicurezza' (gennaio 2026)</w:t>
      </w:r>
    </w:p>
    <w:p>
      <w:pPr>
        <w:spacing w:after="40"/>
      </w:pPr>
      <w:r>
        <w:rPr>
          <w:rFonts w:ascii="Calibri" w:hAnsi="Calibri"/>
          <w:color w:val="606060"/>
          <w:sz w:val="17"/>
        </w:rPr>
        <w:t>• AI4Business — 'Economia agent-to-agent 2026: A2A, AP2 e B2B'</w:t>
      </w:r>
    </w:p>
    <w:p>
      <w:pPr>
        <w:spacing w:after="40"/>
      </w:pPr>
      <w:r>
        <w:rPr>
          <w:rFonts w:ascii="Calibri" w:hAnsi="Calibri"/>
          <w:color w:val="606060"/>
          <w:sz w:val="17"/>
        </w:rPr>
        <w:t>• MilanoFinanza — 'Il grande salto dell'AI nel 2026: dati, agenti autonomi e nuove superfici d'attacco'</w:t>
      </w:r>
    </w:p>
    <w:p>
      <w:pPr>
        <w:spacing w:after="40"/>
      </w:pPr>
      <w:r>
        <w:rPr>
          <w:rFonts w:ascii="Calibri" w:hAnsi="Calibri"/>
          <w:color w:val="606060"/>
          <w:sz w:val="17"/>
        </w:rPr>
        <w:t>• BestTechPartner — 'AI agenti: cosa significa davvero per le imprese' (maggio 2026)</w:t>
      </w:r>
    </w:p>
    <w:p>
      <w:pPr>
        <w:spacing w:after="40"/>
      </w:pPr>
      <w:r>
        <w:rPr>
          <w:rFonts w:ascii="Calibri" w:hAnsi="Calibri"/>
          <w:color w:val="606060"/>
          <w:sz w:val="17"/>
        </w:rPr>
        <w:t>• CorrerieComunicazioni — 'Agenti AI e regolamentazione 2026: cosa cambia per le imprese'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