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Giugno 2026  |  Operativita' AI</w:t>
      </w:r>
    </w:p>
    <w:p/>
    <w:p>
      <w:pPr>
        <w:spacing w:after="120"/>
        <w:jc w:val="left"/>
      </w:pPr>
      <w:r>
        <w:rPr>
          <w:rFonts w:ascii="Calibri" w:hAnsi="Calibri"/>
          <w:b/>
          <w:color w:val="1F497D"/>
          <w:sz w:val="48"/>
        </w:rPr>
        <w:t>Fotografa la fattura, registra la riunione:</w:t>
        <w:br/>
        <w:t>cosa cambia con i modelli multimodali.</w:t>
      </w:r>
    </w:p>
    <w:p>
      <w:pPr>
        <w:spacing w:after="200"/>
        <w:jc w:val="left"/>
      </w:pPr>
      <w:r>
        <w:rPr>
          <w:rFonts w:ascii="Calibri" w:hAnsi="Calibri"/>
          <w:i/>
          <w:color w:val="2E74B5"/>
          <w:sz w:val="26"/>
        </w:rPr>
        <w:t>I modelli AI del 2026 leggono documenti fotografati, trascrivono riunioni e analizzano grafici. Per un commercialista o un consulente, questo non e' solo una comodita' tecnica: cambia quali operazioni ha senso automatizzare e dove si devono tenere i controlli.</w:t>
      </w:r>
    </w:p>
    <w:p>
      <w:pPr>
        <w:spacing w:after="40" w:before="40"/>
        <w:pBdr>
          <w:bottom w:val="single" w:sz="6" w:space="1" w:color="1F497D"/>
        </w:pBdr>
      </w:pPr>
    </w:p>
    <w:p>
      <w:pPr>
        <w:spacing w:after="320"/>
        <w:jc w:val="left"/>
      </w:pPr>
      <w:r>
        <w:rPr>
          <w:rFonts w:ascii="Calibri" w:hAnsi="Calibri"/>
          <w:color w:val="808080"/>
          <w:sz w:val="18"/>
        </w:rPr>
        <w:t>A cura della Redazione Ratio  •  26 giugno 2026</w:t>
      </w:r>
    </w:p>
    <w:p>
      <w:pPr>
        <w:spacing w:after="160" w:line="320" w:lineRule="exact"/>
        <w:jc w:val="both"/>
      </w:pPr>
      <w:r>
        <w:rPr>
          <w:rFonts w:ascii="Calibri" w:hAnsi="Calibri"/>
          <w:sz w:val="22"/>
        </w:rPr>
        <w:t>Un tributarista racconta di aver passato l'ultimo anno a fotografare con il telefono le fatture cartacee dei propri clienti e a inviarle a un modello AI per estrarne i dati. Il processo funziona: il modello identifica fornitore, importo, data, numero fattura, IVA, con un tasso di errore inferiore a quello di un inserimento manuale su grandi volumi. Quello che ancora lo sorprende non e' che l'AI riesca a leggere le fatture, ma che ci riesca partendo da una fotografia mediocre, scattata con il telefono in condizioni di luce non ottimali, di una fattura parzialmente sgualcita. Questo e' quello che significa multimodalita' in pratica: non la capacita' di fare piu' cose diverse, ma la capacita' di ragionare su input di tipo diverso, testo, immagini, audio, video, nello stesso spazio, senza che l'utente debba gestire la conversione tra formati.</w:t>
      </w:r>
    </w:p>
    <w:p>
      <w:pPr>
        <w:spacing w:before="280" w:after="120"/>
      </w:pPr>
      <w:r>
        <w:rPr>
          <w:rFonts w:ascii="Calibri" w:hAnsi="Calibri"/>
          <w:b/>
          <w:color w:val="1F497D"/>
          <w:sz w:val="24"/>
        </w:rPr>
        <w:t>Da chatbot a strumento che 'vede' e 'ascolta'</w:t>
      </w:r>
    </w:p>
    <w:p>
      <w:pPr>
        <w:spacing w:after="160" w:line="320" w:lineRule="exact"/>
        <w:jc w:val="both"/>
      </w:pPr>
      <w:r>
        <w:rPr>
          <w:rFonts w:ascii="Calibri" w:hAnsi="Calibri"/>
          <w:sz w:val="22"/>
        </w:rPr>
        <w:t>Fino al 2024, l'uso professionale dei modelli AI si basava quasi esclusivamente su testo. Si copiava un testo in un'area di input, si riceveva una risposta testuale. Questo limitava le applicazioni ai documenti gia' in formato digitale, escludendo gran parte del materiale cartaceo, fotografico o audio con cui lavorano commercialisti, consulenti e aziende ogni giorno. I modelli multimodali del 2026, GPT-5.5, Claude Opus 4.7 e Gemini 3.1 in primo piano, gestiscono immagini, PDF, audio e in alcuni casi video come input nativi, aprendo applicazioni pratiche che fino a poco tempo fa richiedevano sistemi specializzati separati o integrazioni complesse.</w:t>
      </w:r>
    </w:p>
    <w:p>
      <w:pPr>
        <w:spacing w:after="160" w:line="320" w:lineRule="exact"/>
        <w:jc w:val="both"/>
      </w:pPr>
      <w:r>
        <w:rPr>
          <w:rFonts w:ascii="Calibri" w:hAnsi="Calibri"/>
          <w:sz w:val="22"/>
        </w:rPr>
        <w:t>Per la gestione documentale, significa poter inviare direttamente la fotografia di una lettera, una fattura, un estratto conto, un contratto firmato a mano, e ricevere un'analisi strutturata del contenuto. Non e' OCR tradizionale: il modello non si limita a trascrivere il testo ma interpreta il documento nel suo contesto, identifica le informazioni chiave, segnala anomalie o elementi incoerenti. Per chi gestisce archivi cartacei o riceve documentazione fisica dai clienti, questo abbassa drasticamente il costo di ingresso per processi di digitalizzazione che prima richiedevano scanner, software di riconoscimento testo e verifica manuale.</w:t>
      </w:r>
    </w:p>
    <w:p>
      <w:pPr>
        <w:spacing w:after="160" w:line="320" w:lineRule="exact"/>
        <w:jc w:val="both"/>
      </w:pPr>
      <w:r>
        <w:rPr>
          <w:rFonts w:ascii="Calibri" w:hAnsi="Calibri"/>
          <w:sz w:val="22"/>
        </w:rPr>
        <w:t>Per la gestione delle riunioni, la multimodalita' significa registrare una call, inviare l'audio al modello e ricevere non solo una trascrizione ma un riassunto strutturato con i punti di decisione, le azioni assegnate e le questioni aperte. Funziona su registrazioni in italiano, con qualita' accettabile anche in presenza di piu' voci sovrapposte o rumori di fondo. Per uno studio con molte riunioni di aggiornamento con i clienti, la possibilita' di avere un verbale strutturato automatico riduce un'attivita' spesso affidata al collaboratore piu' giovane a pochi minuti di verifica su un output gia' elaborato.</w:t>
      </w:r>
    </w:p>
    <w:p>
      <w:pPr>
        <w:spacing w:before="280" w:after="120"/>
      </w:pPr>
      <w:r>
        <w:rPr>
          <w:rFonts w:ascii="Calibri" w:hAnsi="Calibri"/>
          <w:b/>
          <w:color w:val="1F497D"/>
          <w:sz w:val="24"/>
        </w:rPr>
        <w:t>I limiti operativi da conoscere prima di affidarsi</w:t>
      </w:r>
    </w:p>
    <w:p>
      <w:pPr>
        <w:spacing w:after="160" w:line="320" w:lineRule="exact"/>
        <w:jc w:val="both"/>
      </w:pPr>
      <w:r>
        <w:rPr>
          <w:rFonts w:ascii="Calibri" w:hAnsi="Calibri"/>
          <w:sz w:val="22"/>
        </w:rPr>
        <w:t>La multimodalita' funziona meglio sui formati per cui i modelli sono stati addestrati: documenti stampati chiari, audio di qualita' accettabile, immagini a risoluzione sufficiente. Con materiale di qualita' bassa, fotografie sfocate, registrazioni con eco forte, documenti scritti a mano in grafia non standard, il tasso di errore aumenta in modo non lineare. Il limite operativo piu' rilevante e' che il modello non segnala necessariamente l'incertezza: produce un output che sembra plausibile anche quando ha estratto informazioni errate. Un importo di fattura sbagliato che entra in un sistema di contabilita' senza essere verificato e' un errore. Un estratto conto mal letto che alimenta una riconciliazione automatizzata e' un errore potenzialmente difficile da trovare a posteriori.</w:t>
      </w:r>
    </w:p>
    <w:p>
      <w:pPr>
        <w:spacing w:after="160" w:line="320" w:lineRule="exact"/>
        <w:jc w:val="both"/>
      </w:pPr>
      <w:r>
        <w:rPr>
          <w:rFonts w:ascii="Calibri" w:hAnsi="Calibri"/>
          <w:sz w:val="22"/>
        </w:rPr>
        <w:t>La soluzione non e' rinunciare allo strumento: e' progettare il flusso di lavoro in modo che gli output ad alto impatto vengano verificati prima di essere usati. Spot check regolari su un campione dei documenti elaborati aiutano a tenere il tasso di errore sotto controllo senza dover ricontrollare tutto manualmente, che vanificherebbe il vantaggio dello strumento. Una regola pratica: i dati che entrano direttamente in un sistema gestionale o che vengono comunicati al cliente meritano un controllo umano. Quelli che servono a costruire una bozza, una sintesi o un promemoria interno possono tollerare un margine di imprecisione piu' ampio.</w:t>
      </w:r>
    </w:p>
    <w:p>
      <w:pPr>
        <w:spacing w:after="160" w:line="320" w:lineRule="exact"/>
        <w:jc w:val="both"/>
      </w:pPr>
      <w:r>
        <w:rPr>
          <w:rFonts w:ascii="Calibri" w:hAnsi="Calibri"/>
          <w:sz w:val="22"/>
        </w:rPr>
        <w:t>C'e' poi una questione di riservatezza che riguarda specificatamente i dati inviati in formato immagine o audio. I documenti che contengono dati personali di terzi, clienti, dipendenti, controparti, rientrano nell'ambito GDPR quando vengono inviati a sistemi AI cloud. L'analisi di documenti sensibili va fatta con i piani aziendali che offrono le garanzie adeguate, non con account personali o gratuiti. Il passaggio pratico piu' immediato per uno studio professionale non e' riprogettare i processi: e' identificare uno o due flussi dove oggi si perdono ore in attivita' manuali su documenti fisici o audio, e verificare se uno strumento multimodale gestisce quel caso specifico con una qualita' accettabile. La verifica richiede trenta minuti, non un progetto.</w:t>
      </w:r>
    </w:p>
    <w:p>
      <w:pPr>
        <w:spacing w:after="40" w:before="40"/>
        <w:pBdr>
          <w:bottom w:val="single" w:sz="6" w:space="1" w:color="1F497D"/>
        </w:pBdr>
      </w:pPr>
    </w:p>
    <w:p>
      <w:pPr>
        <w:spacing w:before="200"/>
      </w:pPr>
      <w:r>
        <w:rPr>
          <w:rFonts w:ascii="Calibri" w:hAnsi="Calibri"/>
          <w:b/>
          <w:color w:val="606060"/>
          <w:sz w:val="18"/>
        </w:rPr>
        <w:t>Riferimenti</w:t>
      </w:r>
    </w:p>
    <w:p>
      <w:pPr>
        <w:spacing w:after="40"/>
      </w:pPr>
      <w:r>
        <w:rPr>
          <w:rFonts w:ascii="Calibri" w:hAnsi="Calibri"/>
          <w:color w:val="606060"/>
          <w:sz w:val="17"/>
        </w:rPr>
        <w:t>• AiPia.it — 'GPT-5.5 vs Gemini 3.1 vs Claude Opus 4.7: multimodalita' nativa a confronto, 2026'</w:t>
      </w:r>
    </w:p>
    <w:p>
      <w:pPr>
        <w:spacing w:after="40"/>
      </w:pPr>
      <w:r>
        <w:rPr>
          <w:rFonts w:ascii="Calibri" w:hAnsi="Calibri"/>
          <w:color w:val="606060"/>
          <w:sz w:val="17"/>
        </w:rPr>
        <w:t>• Osservatori.net — 'Gemini: cos'e' e come si usa. Limiti e opportunita' in azienda'</w:t>
      </w:r>
    </w:p>
    <w:p>
      <w:pPr>
        <w:spacing w:after="40"/>
      </w:pPr>
      <w:r>
        <w:rPr>
          <w:rFonts w:ascii="Calibri" w:hAnsi="Calibri"/>
          <w:color w:val="606060"/>
          <w:sz w:val="17"/>
        </w:rPr>
        <w:t>• Mimir.bot — 'ChatGPT: guida completa alle funzionalita' multimodali 2026'</w:t>
      </w:r>
    </w:p>
    <w:p>
      <w:pPr>
        <w:spacing w:after="40"/>
      </w:pPr>
      <w:r>
        <w:rPr>
          <w:rFonts w:ascii="Calibri" w:hAnsi="Calibri"/>
          <w:color w:val="606060"/>
          <w:sz w:val="17"/>
        </w:rPr>
        <w:t>• WebalchLab — 'Modelli multimodali: come sfruttare testo, immagini e voce in un'unica strategia'</w:t>
      </w:r>
    </w:p>
    <w:p>
      <w:pPr>
        <w:spacing w:after="40"/>
      </w:pPr>
      <w:r>
        <w:rPr>
          <w:rFonts w:ascii="Calibri" w:hAnsi="Calibri"/>
          <w:color w:val="606060"/>
          <w:sz w:val="17"/>
        </w:rPr>
        <w:t>• AgendaDigitale — 'Gemini AI di Google entra in azienda: ecco i vantaggi'</w:t>
      </w:r>
    </w:p>
    <w:p>
      <w:pPr>
        <w:spacing w:after="40"/>
      </w:pPr>
      <w:r>
        <w:rPr>
          <w:rFonts w:ascii="Calibri" w:hAnsi="Calibri"/>
          <w:color w:val="606060"/>
          <w:sz w:val="17"/>
        </w:rPr>
        <w:t>• CultureDigitali — 'Tutti i modelli Gemini AI disponibili nel 2026: guida completa'</w:t>
      </w:r>
    </w:p>
    <w:p>
      <w:pPr>
        <w:spacing w:after="40"/>
      </w:pPr>
      <w:r>
        <w:rPr>
          <w:rFonts w:ascii="Calibri" w:hAnsi="Calibri"/>
          <w:color w:val="606060"/>
          <w:sz w:val="17"/>
        </w:rPr>
        <w:t>• Osservatorio Digital Innovation, Politecnico di Milano — 'AI nelle imprese italiane 2026'</w:t>
      </w:r>
    </w:p>
    <w:p>
      <w:pPr>
        <w:spacing w:before="320"/>
        <w:jc w:val="center"/>
      </w:pPr>
      <w:r>
        <w:rPr>
          <w:rFonts w:ascii="Calibri" w:hAnsi="Calibri"/>
          <w:i/>
          <w:color w:val="A0A0A0"/>
          <w:sz w:val="16"/>
        </w:rPr>
        <w:t>© 2026 Mattavelli Amodeo — Commercialisti Associati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