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B6492" w14:textId="7AA1D6C8" w:rsidR="00794619" w:rsidRPr="00794619" w:rsidRDefault="00794619" w:rsidP="00794619">
      <w:pPr>
        <w:jc w:val="both"/>
        <w:rPr>
          <w:b/>
          <w:bCs/>
        </w:rPr>
      </w:pPr>
      <w:r w:rsidRPr="00794619">
        <w:rPr>
          <w:b/>
          <w:bCs/>
        </w:rPr>
        <w:t>E se la newsletter ai clienti la leggesse il nostro avatar?</w:t>
      </w:r>
    </w:p>
    <w:p w14:paraId="32355C09" w14:textId="377697A5" w:rsidR="00794619" w:rsidRDefault="00794619" w:rsidP="00794619">
      <w:pPr>
        <w:jc w:val="both"/>
      </w:pPr>
      <w:r>
        <w:t xml:space="preserve">Diciamoci la verità: </w:t>
      </w:r>
      <w:r w:rsidR="003E6FC3">
        <w:t>ben pochi dei clienti dei commercialisti leggono le newsletter e forse il termine stesso sta divent</w:t>
      </w:r>
      <w:r w:rsidR="00F6698B">
        <w:t>ando un po' obsoleto e anacronistico.</w:t>
      </w:r>
    </w:p>
    <w:p w14:paraId="0E606DC0" w14:textId="63B4D032" w:rsidR="00F6698B" w:rsidRDefault="00F6698B" w:rsidP="00F6698B">
      <w:pPr>
        <w:jc w:val="both"/>
      </w:pPr>
      <w:r>
        <w:t>L’attenzione che siamo disposti a prestare ad un qualsiasi contenuto è oggi estremamente ridotta e di gran lunga inferiore a quella richiesta dalla lettura di una newsletter per di più di carattere fiscale o tecnico.</w:t>
      </w:r>
      <w:r>
        <w:t xml:space="preserve"> Eppure</w:t>
      </w:r>
      <w:r w:rsidR="00E22CC6">
        <w:t>,</w:t>
      </w:r>
      <w:r>
        <w:t xml:space="preserve"> quei contenuti trasmessi ai clienti potrebbero essere rilevanti e ignorarli potrebbe portare a comportamenti scorretti o omissioni pericolose.</w:t>
      </w:r>
    </w:p>
    <w:p w14:paraId="0F354A88" w14:textId="52FC3B7D" w:rsidR="00F6698B" w:rsidRDefault="00F6698B" w:rsidP="00794619">
      <w:pPr>
        <w:jc w:val="both"/>
      </w:pPr>
      <w:r>
        <w:t xml:space="preserve">Una delle applicazioni più sconvolgenti e nel cui campo c’è ancora molta strada da percorrere (ma sappiamo che l’AI corre veloce) è la generazione di video con personaggi, ambienti e dialoghi puramente frutto della AI. </w:t>
      </w:r>
      <w:r w:rsidR="00E22CC6">
        <w:t xml:space="preserve">Vale la pena di esplorare questa </w:t>
      </w:r>
      <w:r>
        <w:t>opportunità che potrebbe avere qualche appeal sul pubblico e finalmente spingere qualche cliente, almeno per curiosità, ad ascoltare le informazioni che li riguardano direttamente.</w:t>
      </w:r>
    </w:p>
    <w:p w14:paraId="4922C378" w14:textId="318302C0" w:rsidR="00794619" w:rsidRPr="007614D7" w:rsidRDefault="00794619" w:rsidP="00E22CC6">
      <w:pPr>
        <w:jc w:val="both"/>
      </w:pPr>
      <w:r w:rsidRPr="00794619">
        <w:t xml:space="preserve">Grazie all'intelligenza artificiale, gli studi di consulenza fiscale possono ora creare newsletter personalizzate e molto più efficaci, sfruttando le proprie risorse, come le banche dati interne e la conoscenza specialistica dei consulenti. </w:t>
      </w:r>
      <w:r w:rsidR="007614D7" w:rsidRPr="007614D7">
        <w:t xml:space="preserve">Tuttavia, l'intelligenza artificiale non si limita alla personalizzazione dei contenuti. Essa può rendere i messaggi più chiari e accattivanti, migliorando il servizio offerto. La vera innovazione </w:t>
      </w:r>
      <w:r w:rsidR="007614D7">
        <w:t xml:space="preserve">poi potrebbe essere </w:t>
      </w:r>
      <w:r w:rsidR="007614D7" w:rsidRPr="007614D7">
        <w:t>delegare la presentazione della newsletter a un avatar, che utilizza l'immagine e i movimenti dell'utente per comunicare in modo interattivo e coinvolgente. Questo strumento trasforma il messaggio in un'esperienza personale e umana, con intonazione, espressioni e gesti che rendono il contenuto più accessibile e interessante.</w:t>
      </w:r>
    </w:p>
    <w:p w14:paraId="67D80CCB" w14:textId="7FBC13BA" w:rsidR="00E22CC6" w:rsidRDefault="00794619" w:rsidP="00794619">
      <w:pPr>
        <w:jc w:val="both"/>
      </w:pPr>
      <w:r w:rsidRPr="00794619">
        <w:t>Questa soluzione è particolarmente vantaggiosa in un contesto come quello della consulenza fiscale, dove spesso i concetti sono complessi e le normative possono risultare ostiche ai non addetti ai lavori. Un avatar che spiega in modo chiaro, magari usando anche esempi visivi, può fare la differenza nel far comprendere al cliente aspetti importanti del</w:t>
      </w:r>
      <w:r w:rsidR="00E22CC6">
        <w:t xml:space="preserve"> confuso marasma delle novità </w:t>
      </w:r>
      <w:r w:rsidRPr="00794619">
        <w:t>fiscal</w:t>
      </w:r>
      <w:r w:rsidR="00E22CC6">
        <w:t>i</w:t>
      </w:r>
      <w:r w:rsidRPr="00794619">
        <w:t xml:space="preserve">. </w:t>
      </w:r>
    </w:p>
    <w:p w14:paraId="296611CA" w14:textId="3E15DD50" w:rsidR="00794619" w:rsidRPr="00794619" w:rsidRDefault="00794619" w:rsidP="00794619">
      <w:pPr>
        <w:jc w:val="both"/>
      </w:pPr>
      <w:r w:rsidRPr="00794619">
        <w:t>Infine, non bisogna sottovalutare l'impatto che un avatar può avere sull'immagine stessa dello studio. Presentare contenuti attraverso un clone digitale significa posizionarsi come uno studio all'avanguardia, capace di sfruttare le tecnologie più innovative per migliorare l'esperienza dei propri clienti. È un modo per comunicare che non solo si è aggiornati sui temi fiscali, ma che si è pronti a utilizzare ogni strumento possibile per rendere più agevole la vita dei clienti.</w:t>
      </w:r>
    </w:p>
    <w:p w14:paraId="27E64773" w14:textId="2C2321AF" w:rsidR="00D113DA" w:rsidRDefault="007614D7" w:rsidP="00794619">
      <w:pPr>
        <w:jc w:val="both"/>
      </w:pPr>
      <w:r>
        <w:t xml:space="preserve">Ad oggi, sono già disponibili, sia in demo gratuita che con canoni del tutto analoghi a quelli dei consueti </w:t>
      </w:r>
      <w:proofErr w:type="spellStart"/>
      <w:r>
        <w:t>Gpt</w:t>
      </w:r>
      <w:proofErr w:type="spellEnd"/>
      <w:r>
        <w:t xml:space="preserve"> strumenti </w:t>
      </w:r>
      <w:r w:rsidR="00D113DA">
        <w:t xml:space="preserve">(Ad Es: </w:t>
      </w:r>
      <w:proofErr w:type="spellStart"/>
      <w:r w:rsidR="00D113DA">
        <w:t>HeyGen</w:t>
      </w:r>
      <w:proofErr w:type="spellEnd"/>
      <w:r w:rsidR="00D113DA">
        <w:t xml:space="preserve"> di Google) </w:t>
      </w:r>
      <w:r>
        <w:t>che in pochi minuti e con poche registrazioni di audio e video</w:t>
      </w:r>
      <w:r w:rsidR="00D113DA">
        <w:t>,</w:t>
      </w:r>
      <w:r>
        <w:t xml:space="preserve"> sono in grado </w:t>
      </w:r>
      <w:r w:rsidR="00D113DA">
        <w:t xml:space="preserve">di “clonarci”, farci leggere o recitare qualsiasi script e tradurlo in 30 lingue con perfetto sincro tra labbra e parlato. Vale la pena di provarlo, anche solo per giocarci un po’ e affermare che alla fine noi siamo molto meglio (anche se non </w:t>
      </w:r>
      <w:r w:rsidR="00E22CC6">
        <w:t xml:space="preserve">più di tre </w:t>
      </w:r>
      <w:r w:rsidR="00D113DA">
        <w:t>lingue)!</w:t>
      </w:r>
    </w:p>
    <w:sectPr w:rsidR="00D113DA">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4619"/>
    <w:rsid w:val="003E6FC3"/>
    <w:rsid w:val="007614D7"/>
    <w:rsid w:val="00794619"/>
    <w:rsid w:val="008C503F"/>
    <w:rsid w:val="00D113DA"/>
    <w:rsid w:val="00E22CC6"/>
    <w:rsid w:val="00F6698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50ED2"/>
  <w15:chartTrackingRefBased/>
  <w15:docId w15:val="{4D9B9FE1-DAE8-48F7-A073-C39FAB23F7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7946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7946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794619"/>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794619"/>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794619"/>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794619"/>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794619"/>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794619"/>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794619"/>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794619"/>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794619"/>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794619"/>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794619"/>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794619"/>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794619"/>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794619"/>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794619"/>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794619"/>
    <w:rPr>
      <w:rFonts w:eastAsiaTheme="majorEastAsia" w:cstheme="majorBidi"/>
      <w:color w:val="272727" w:themeColor="text1" w:themeTint="D8"/>
    </w:rPr>
  </w:style>
  <w:style w:type="paragraph" w:styleId="Titolo">
    <w:name w:val="Title"/>
    <w:basedOn w:val="Normale"/>
    <w:next w:val="Normale"/>
    <w:link w:val="TitoloCarattere"/>
    <w:uiPriority w:val="10"/>
    <w:qFormat/>
    <w:rsid w:val="007946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794619"/>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794619"/>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794619"/>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794619"/>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794619"/>
    <w:rPr>
      <w:i/>
      <w:iCs/>
      <w:color w:val="404040" w:themeColor="text1" w:themeTint="BF"/>
    </w:rPr>
  </w:style>
  <w:style w:type="paragraph" w:styleId="Paragrafoelenco">
    <w:name w:val="List Paragraph"/>
    <w:basedOn w:val="Normale"/>
    <w:uiPriority w:val="34"/>
    <w:qFormat/>
    <w:rsid w:val="00794619"/>
    <w:pPr>
      <w:ind w:left="720"/>
      <w:contextualSpacing/>
    </w:pPr>
  </w:style>
  <w:style w:type="character" w:styleId="Enfasiintensa">
    <w:name w:val="Intense Emphasis"/>
    <w:basedOn w:val="Carpredefinitoparagrafo"/>
    <w:uiPriority w:val="21"/>
    <w:qFormat/>
    <w:rsid w:val="00794619"/>
    <w:rPr>
      <w:i/>
      <w:iCs/>
      <w:color w:val="0F4761" w:themeColor="accent1" w:themeShade="BF"/>
    </w:rPr>
  </w:style>
  <w:style w:type="paragraph" w:styleId="Citazioneintensa">
    <w:name w:val="Intense Quote"/>
    <w:basedOn w:val="Normale"/>
    <w:next w:val="Normale"/>
    <w:link w:val="CitazioneintensaCarattere"/>
    <w:uiPriority w:val="30"/>
    <w:qFormat/>
    <w:rsid w:val="007946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794619"/>
    <w:rPr>
      <w:i/>
      <w:iCs/>
      <w:color w:val="0F4761" w:themeColor="accent1" w:themeShade="BF"/>
    </w:rPr>
  </w:style>
  <w:style w:type="character" w:styleId="Riferimentointenso">
    <w:name w:val="Intense Reference"/>
    <w:basedOn w:val="Carpredefinitoparagrafo"/>
    <w:uiPriority w:val="32"/>
    <w:qFormat/>
    <w:rsid w:val="007946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101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B2E99503D3AD4DA2231F0D240043DD" ma:contentTypeVersion="19" ma:contentTypeDescription="Creare un nuovo documento." ma:contentTypeScope="" ma:versionID="5d22b860b2d7b05646517e191754a185">
  <xsd:schema xmlns:xsd="http://www.w3.org/2001/XMLSchema" xmlns:xs="http://www.w3.org/2001/XMLSchema" xmlns:p="http://schemas.microsoft.com/office/2006/metadata/properties" xmlns:ns2="77a3f60d-3740-4b8f-aea2-18b203205ead" xmlns:ns3="6c014026-a0ef-45dc-9ca9-ac355db24e99" targetNamespace="http://schemas.microsoft.com/office/2006/metadata/properties" ma:root="true" ma:fieldsID="c3ef981538194d0481c402a9a66d521d" ns2:_="" ns3:_="">
    <xsd:import namespace="77a3f60d-3740-4b8f-aea2-18b203205ead"/>
    <xsd:import namespace="6c014026-a0ef-45dc-9ca9-ac355db24e9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3f60d-3740-4b8f-aea2-18b203205e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 immagine" ma:readOnly="false" ma:fieldId="{5cf76f15-5ced-4ddc-b409-7134ff3c332f}" ma:taxonomyMulti="true" ma:sspId="bbff36a2-fd21-4e1e-a182-03a870c089d7"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014026-a0ef-45dc-9ca9-ac355db24e99" elementFormDefault="qualified">
    <xsd:import namespace="http://schemas.microsoft.com/office/2006/documentManagement/types"/>
    <xsd:import namespace="http://schemas.microsoft.com/office/infopath/2007/PartnerControls"/>
    <xsd:element name="SharedWithUsers" ma:index="14"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Condiviso con dettagli" ma:internalName="SharedWithDetails" ma:readOnly="true">
      <xsd:simpleType>
        <xsd:restriction base="dms:Note">
          <xsd:maxLength value="255"/>
        </xsd:restriction>
      </xsd:simpleType>
    </xsd:element>
    <xsd:element name="TaxCatchAll" ma:index="23" nillable="true" ma:displayName="Taxonomy Catch All Column" ma:hidden="true" ma:list="{8c17ed12-4c7d-4ce0-86b8-91d9357e9166}" ma:internalName="TaxCatchAll" ma:showField="CatchAllData" ma:web="6c014026-a0ef-45dc-9ca9-ac355db24e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c014026-a0ef-45dc-9ca9-ac355db24e99" xsi:nil="true"/>
    <lcf76f155ced4ddcb4097134ff3c332f xmlns="77a3f60d-3740-4b8f-aea2-18b203205ea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3BAF1EC-32E0-4400-A0F9-A32C9AC5CC3A}"/>
</file>

<file path=customXml/itemProps2.xml><?xml version="1.0" encoding="utf-8"?>
<ds:datastoreItem xmlns:ds="http://schemas.openxmlformats.org/officeDocument/2006/customXml" ds:itemID="{23E90C54-EFDF-4BBD-8259-5CF6DE49235C}"/>
</file>

<file path=customXml/itemProps3.xml><?xml version="1.0" encoding="utf-8"?>
<ds:datastoreItem xmlns:ds="http://schemas.openxmlformats.org/officeDocument/2006/customXml" ds:itemID="{DD6B1435-245D-4618-AD8B-C4D74EDF1F79}"/>
</file>

<file path=docProps/app.xml><?xml version="1.0" encoding="utf-8"?>
<Properties xmlns="http://schemas.openxmlformats.org/officeDocument/2006/extended-properties" xmlns:vt="http://schemas.openxmlformats.org/officeDocument/2006/docPropsVTypes">
  <Template>Normal.dotm</Template>
  <TotalTime>63</TotalTime>
  <Pages>1</Pages>
  <Words>466</Words>
  <Characters>2700</Characters>
  <Application>Microsoft Office Word</Application>
  <DocSecurity>0</DocSecurity>
  <Lines>40</Lines>
  <Paragraphs>14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Mattavelli</dc:creator>
  <cp:keywords/>
  <dc:description/>
  <cp:lastModifiedBy>Alessandro Mattavelli</cp:lastModifiedBy>
  <cp:revision>2</cp:revision>
  <dcterms:created xsi:type="dcterms:W3CDTF">2024-11-21T08:10:00Z</dcterms:created>
  <dcterms:modified xsi:type="dcterms:W3CDTF">2024-11-21T10:03:00Z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0x01010049B2E99503D3AD4DA2231F0D240043DD</vt:lpwstr>
  </property>
</Properties>
</file>