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FF8C"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lang w:val="it-IT"/>
        </w:rPr>
        <w:br/>
      </w:r>
      <w:r w:rsidRPr="00D01F7E">
        <w:rPr>
          <w:rFonts w:ascii="Aptos Display" w:hAnsi="Aptos Display"/>
          <w:color w:val="0F4761" w:themeColor="accent1" w:themeShade="BF"/>
          <w:lang w:val="it-IT" w:eastAsia="it-IT"/>
        </w:rPr>
        <w:t>Titolo</w:t>
      </w:r>
      <w:r w:rsidRPr="00D01F7E">
        <w:rPr>
          <w:rFonts w:ascii="Aptos Display" w:hAnsi="Aptos Display"/>
          <w:lang w:val="it-IT"/>
        </w:rPr>
        <w:br/>
      </w:r>
    </w:p>
    <w:p w14:paraId="2F1F906D" w14:textId="020EF31E" w:rsidR="00300888" w:rsidRPr="00AD1580" w:rsidRDefault="008B3BEB" w:rsidP="00AD1580">
      <w:pPr>
        <w:pBdr>
          <w:top w:val="single" w:sz="4" w:space="1" w:color="auto"/>
          <w:left w:val="single" w:sz="4" w:space="4" w:color="auto"/>
          <w:bottom w:val="single" w:sz="4" w:space="1" w:color="auto"/>
          <w:right w:val="single" w:sz="4" w:space="4" w:color="auto"/>
        </w:pBdr>
        <w:spacing w:after="160"/>
        <w:jc w:val="both"/>
        <w:rPr>
          <w:rFonts w:eastAsiaTheme="minorHAnsi"/>
          <w:b/>
          <w:bCs/>
          <w:lang w:val="it-IT"/>
        </w:rPr>
      </w:pPr>
      <w:proofErr w:type="spellStart"/>
      <w:r w:rsidRPr="008B3BEB">
        <w:rPr>
          <w:rFonts w:eastAsiaTheme="minorHAnsi"/>
          <w:b/>
          <w:bCs/>
          <w:lang w:val="it-IT"/>
        </w:rPr>
        <w:t>Assirevi</w:t>
      </w:r>
      <w:proofErr w:type="spellEnd"/>
      <w:r w:rsidRPr="008B3BEB">
        <w:rPr>
          <w:rFonts w:eastAsiaTheme="minorHAnsi"/>
          <w:b/>
          <w:bCs/>
          <w:lang w:val="it-IT"/>
        </w:rPr>
        <w:t xml:space="preserve"> e intelligenza artificiale: la revisione entra in una nuova fase</w:t>
      </w:r>
    </w:p>
    <w:p w14:paraId="68F47505"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color w:val="0F4761" w:themeColor="accent1" w:themeShade="BF"/>
          <w:lang w:val="it-IT" w:eastAsia="it-IT"/>
        </w:rPr>
        <w:t>Sottotitolo</w:t>
      </w:r>
      <w:r w:rsidRPr="00D01F7E">
        <w:rPr>
          <w:rFonts w:ascii="Aptos Display" w:hAnsi="Aptos Display"/>
          <w:lang w:val="it-IT"/>
        </w:rPr>
        <w:br/>
      </w:r>
    </w:p>
    <w:p w14:paraId="053A2F57" w14:textId="60FDAF5F" w:rsidR="00300888" w:rsidRDefault="00142FE5" w:rsidP="00300888">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lang w:val="it-IT"/>
        </w:rPr>
      </w:pPr>
      <w:r w:rsidRPr="00142FE5">
        <w:rPr>
          <w:rFonts w:ascii="Aptos Display" w:hAnsi="Aptos Display"/>
          <w:lang w:val="it-IT"/>
        </w:rPr>
        <w:t xml:space="preserve">La monografia </w:t>
      </w:r>
      <w:proofErr w:type="spellStart"/>
      <w:r w:rsidRPr="00142FE5">
        <w:rPr>
          <w:rFonts w:ascii="Aptos Display" w:hAnsi="Aptos Display"/>
          <w:lang w:val="it-IT"/>
        </w:rPr>
        <w:t>Assirevi</w:t>
      </w:r>
      <w:proofErr w:type="spellEnd"/>
      <w:r w:rsidRPr="00142FE5">
        <w:rPr>
          <w:rFonts w:ascii="Aptos Display" w:hAnsi="Aptos Display"/>
          <w:lang w:val="it-IT"/>
        </w:rPr>
        <w:t xml:space="preserve"> di dicembre sull’intelligenza artificiale offre una prima lettura sistematica degli effetti della trasformazione tecnologica sull’attività di revisione legale. Il documento non propone soluzioni operative immediate, ma chiarisce direzioni di sviluppo, rischi e competenze necessarie, ribadendo il ruolo centrale del giudizio professionale</w:t>
      </w:r>
    </w:p>
    <w:p w14:paraId="2436CD03" w14:textId="77777777" w:rsidR="00300888" w:rsidRDefault="00300888" w:rsidP="00300888">
      <w:pPr>
        <w:spacing w:after="0" w:line="240" w:lineRule="auto"/>
        <w:contextualSpacing/>
        <w:jc w:val="both"/>
        <w:rPr>
          <w:rFonts w:ascii="Aptos Display" w:hAnsi="Aptos Display"/>
          <w:lang w:val="it-IT"/>
        </w:rPr>
      </w:pPr>
    </w:p>
    <w:p w14:paraId="6563AC9A"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color w:val="0F4761" w:themeColor="accent1" w:themeShade="BF"/>
          <w:lang w:val="it-IT" w:eastAsia="it-IT"/>
        </w:rPr>
        <w:t>Approfondimento</w:t>
      </w:r>
      <w:r w:rsidRPr="00D01F7E">
        <w:rPr>
          <w:rFonts w:ascii="Aptos Display" w:hAnsi="Aptos Display"/>
          <w:lang w:val="it-IT"/>
        </w:rPr>
        <w:br/>
      </w:r>
    </w:p>
    <w:p w14:paraId="4EBE9C53" w14:textId="6899E9DB" w:rsidR="009F713F" w:rsidRPr="009F713F" w:rsidRDefault="009F713F" w:rsidP="009F713F">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F713F">
        <w:rPr>
          <w:rFonts w:ascii="Aptos Display" w:hAnsi="Aptos Display"/>
          <w:lang w:val="it-IT"/>
        </w:rPr>
        <w:t xml:space="preserve">La monografia pubblicata da </w:t>
      </w:r>
      <w:proofErr w:type="spellStart"/>
      <w:r w:rsidRPr="009F713F">
        <w:rPr>
          <w:rFonts w:ascii="Aptos Display" w:hAnsi="Aptos Display"/>
          <w:lang w:val="it-IT"/>
        </w:rPr>
        <w:t>Assirevi</w:t>
      </w:r>
      <w:proofErr w:type="spellEnd"/>
      <w:r w:rsidRPr="009F713F">
        <w:rPr>
          <w:rFonts w:ascii="Aptos Display" w:hAnsi="Aptos Display"/>
          <w:lang w:val="it-IT"/>
        </w:rPr>
        <w:t xml:space="preserve"> nel mese di dicembre si inserisce in un contesto in cui la trasformazione digitale è ormai pienamente operativa nei processi aziendali. L’intelligenza artificiale e gli strumenti avanzati di data </w:t>
      </w:r>
      <w:proofErr w:type="spellStart"/>
      <w:r w:rsidRPr="009F713F">
        <w:rPr>
          <w:rFonts w:ascii="Aptos Display" w:hAnsi="Aptos Display"/>
          <w:lang w:val="it-IT"/>
        </w:rPr>
        <w:t>analytics</w:t>
      </w:r>
      <w:proofErr w:type="spellEnd"/>
      <w:r w:rsidRPr="009F713F">
        <w:rPr>
          <w:rFonts w:ascii="Aptos Display" w:hAnsi="Aptos Display"/>
          <w:lang w:val="it-IT"/>
        </w:rPr>
        <w:t xml:space="preserve"> stanno modificando in modo strutturale il modo in cui le informazioni vengono prodotte, elaborate e, di conseguenza, verificate nell’ambito della revisione legale. In questo scenario, </w:t>
      </w:r>
      <w:proofErr w:type="spellStart"/>
      <w:r w:rsidRPr="009F713F">
        <w:rPr>
          <w:rFonts w:ascii="Aptos Display" w:hAnsi="Aptos Display"/>
          <w:lang w:val="it-IT"/>
        </w:rPr>
        <w:t>Assirevi</w:t>
      </w:r>
      <w:proofErr w:type="spellEnd"/>
      <w:r w:rsidRPr="009F713F">
        <w:rPr>
          <w:rFonts w:ascii="Aptos Display" w:hAnsi="Aptos Display"/>
          <w:lang w:val="it-IT"/>
        </w:rPr>
        <w:t xml:space="preserve"> colloca l’IA come leva strategica per rafforzare la qualità dell’audit, non come elemento sostitutivo del giudizio professionale.</w:t>
      </w:r>
    </w:p>
    <w:p w14:paraId="017FFB9D" w14:textId="77777777" w:rsidR="009F713F" w:rsidRPr="009F713F" w:rsidRDefault="009F713F" w:rsidP="009F713F">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F713F">
        <w:rPr>
          <w:rFonts w:ascii="Aptos Display" w:hAnsi="Aptos Display"/>
          <w:lang w:val="it-IT"/>
        </w:rPr>
        <w:t>Il documento nasce dall’esigenza di offrire alle società di revisione una prima sistematizzazione dei cambiamenti in atto. L’innovazione tecnologica non viene presentata come un’opzione facoltativa, ma come una componente sempre più rilevante della capacità del revisore di presidiare rischi complessi e di garantire affidabilità all’informativa finanziaria. Coerentemente con la natura dell’attività di revisione, l’approccio adottato è prudente e riflessivo: non vengono proposte soluzioni operative immediate, ma una cornice concettuale entro cui interpretare l’evoluzione tecnologica.</w:t>
      </w:r>
    </w:p>
    <w:p w14:paraId="25E4793F" w14:textId="49A41E05" w:rsidR="009F713F" w:rsidRPr="009B6269" w:rsidRDefault="009B6269" w:rsidP="009B6269">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B6269">
        <w:rPr>
          <w:rFonts w:ascii="Aptos Display" w:hAnsi="Aptos Display"/>
          <w:lang w:val="it-IT"/>
        </w:rPr>
        <w:t xml:space="preserve">La monografia evidenzia come l'aumento dei dati non strutturati nei sistemi informativi aziendali renda necessario utilizzare l'intelligenza artificiale in audit. L'IA, grazie al </w:t>
      </w:r>
      <w:proofErr w:type="spellStart"/>
      <w:r w:rsidRPr="009B6269">
        <w:rPr>
          <w:rFonts w:ascii="Aptos Display" w:hAnsi="Aptos Display"/>
          <w:lang w:val="it-IT"/>
        </w:rPr>
        <w:t>natural</w:t>
      </w:r>
      <w:proofErr w:type="spellEnd"/>
      <w:r w:rsidRPr="009B6269">
        <w:rPr>
          <w:rFonts w:ascii="Aptos Display" w:hAnsi="Aptos Display"/>
          <w:lang w:val="it-IT"/>
        </w:rPr>
        <w:t xml:space="preserve"> </w:t>
      </w:r>
      <w:proofErr w:type="spellStart"/>
      <w:r w:rsidRPr="009B6269">
        <w:rPr>
          <w:rFonts w:ascii="Aptos Display" w:hAnsi="Aptos Display"/>
          <w:lang w:val="it-IT"/>
        </w:rPr>
        <w:t>language</w:t>
      </w:r>
      <w:proofErr w:type="spellEnd"/>
      <w:r w:rsidRPr="009B6269">
        <w:rPr>
          <w:rFonts w:ascii="Aptos Display" w:hAnsi="Aptos Display"/>
          <w:lang w:val="it-IT"/>
        </w:rPr>
        <w:t xml:space="preserve"> processing e al machine learning, permette un'analisi più efficace, facilitando il rilevamento di anomalie e rischi e migliorando il processo di revisione.</w:t>
      </w:r>
    </w:p>
    <w:p w14:paraId="75910444" w14:textId="4513D32C" w:rsidR="009F713F" w:rsidRPr="009F713F" w:rsidRDefault="009B6269" w:rsidP="009F713F">
      <w:pPr>
        <w:pBdr>
          <w:top w:val="single" w:sz="4" w:space="1" w:color="auto"/>
          <w:left w:val="single" w:sz="4" w:space="4" w:color="auto"/>
          <w:bottom w:val="single" w:sz="4" w:space="1" w:color="auto"/>
          <w:right w:val="single" w:sz="4" w:space="4" w:color="auto"/>
        </w:pBdr>
        <w:jc w:val="both"/>
        <w:rPr>
          <w:rFonts w:ascii="Aptos Display" w:hAnsi="Aptos Display"/>
          <w:lang w:val="it-IT"/>
        </w:rPr>
      </w:pPr>
      <w:proofErr w:type="spellStart"/>
      <w:r w:rsidRPr="009B6269">
        <w:rPr>
          <w:rFonts w:ascii="Aptos Display" w:hAnsi="Aptos Display"/>
          <w:lang w:val="it-IT"/>
        </w:rPr>
        <w:t>Assirevi</w:t>
      </w:r>
      <w:proofErr w:type="spellEnd"/>
      <w:r w:rsidRPr="009B6269">
        <w:rPr>
          <w:rFonts w:ascii="Aptos Display" w:hAnsi="Aptos Display"/>
          <w:lang w:val="it-IT"/>
        </w:rPr>
        <w:t xml:space="preserve"> evidenzia che l’adozione dell’IA comporta rischi legati alla qualità dei dati, ai modelli e alle logiche di addestramento. Bias o carenze possono compromettere l’affidabilità degli output, incidendo sulla revisione. Pertanto, la qualità dei dati e la governance dei modelli sono cruciali, specialmente con il crescente uso dell’IA nei processi aziendali.</w:t>
      </w:r>
      <w:r w:rsidR="00017593">
        <w:rPr>
          <w:rFonts w:ascii="Aptos Display" w:hAnsi="Aptos Display"/>
          <w:lang w:val="it-IT"/>
        </w:rPr>
        <w:t xml:space="preserve"> </w:t>
      </w:r>
      <w:r w:rsidR="009F713F" w:rsidRPr="009F713F">
        <w:rPr>
          <w:rFonts w:ascii="Aptos Display" w:hAnsi="Aptos Display"/>
          <w:lang w:val="it-IT"/>
        </w:rPr>
        <w:t xml:space="preserve">La trasformazione tecnologica ha effetti rilevanti anche sulle competenze e sull’organizzazione delle società di revisione. Accanto ai profili tradizionali di audit si affermano nuove professionalità con competenze digitali, di programmazione e di data </w:t>
      </w:r>
      <w:proofErr w:type="spellStart"/>
      <w:r w:rsidR="009F713F" w:rsidRPr="009F713F">
        <w:rPr>
          <w:rFonts w:ascii="Aptos Display" w:hAnsi="Aptos Display"/>
          <w:lang w:val="it-IT"/>
        </w:rPr>
        <w:t>analytics</w:t>
      </w:r>
      <w:proofErr w:type="spellEnd"/>
      <w:r w:rsidR="009F713F" w:rsidRPr="009F713F">
        <w:rPr>
          <w:rFonts w:ascii="Aptos Display" w:hAnsi="Aptos Display"/>
          <w:lang w:val="it-IT"/>
        </w:rPr>
        <w:t xml:space="preserve">, spesso organizzate in centri di eccellenza interni a supporto </w:t>
      </w:r>
      <w:proofErr w:type="gramStart"/>
      <w:r w:rsidR="009F713F" w:rsidRPr="009F713F">
        <w:rPr>
          <w:rFonts w:ascii="Aptos Display" w:hAnsi="Aptos Display"/>
          <w:lang w:val="it-IT"/>
        </w:rPr>
        <w:t>dei team</w:t>
      </w:r>
      <w:proofErr w:type="gramEnd"/>
      <w:r w:rsidR="009F713F" w:rsidRPr="009F713F">
        <w:rPr>
          <w:rFonts w:ascii="Aptos Display" w:hAnsi="Aptos Display"/>
          <w:lang w:val="it-IT"/>
        </w:rPr>
        <w:t xml:space="preserve"> di revisione. Parallelamente, cresce l’importanza della formazione continua, finalizzata a rendere i revisori in grado di comprendere il funzionamento degli strumenti tecnologici, valutarne limiti e affidabilità e interpretarne correttamente i risultati.</w:t>
      </w:r>
    </w:p>
    <w:p w14:paraId="575DA9ED" w14:textId="77777777" w:rsidR="009F713F" w:rsidRPr="009F713F" w:rsidRDefault="009F713F" w:rsidP="009F713F">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F713F">
        <w:rPr>
          <w:rFonts w:ascii="Aptos Display" w:hAnsi="Aptos Display"/>
          <w:lang w:val="it-IT"/>
        </w:rPr>
        <w:t>In questo quadro, la monografia ribadisce con forza la centralità del giudizio professionale umano. L’intelligenza artificiale supporta il revisore, ne amplifica le capacità di analisi e di focalizzazione del rischio, ma non ne sostituisce la responsabilità. Il giudizio finale resta in capo al professionista, che deve integrare le evidenze tecnologiche con esperienza, conoscenza del contesto aziendale e capacità di valutazione critica.</w:t>
      </w:r>
    </w:p>
    <w:p w14:paraId="2A7108E3" w14:textId="156E2D3C" w:rsidR="00250523" w:rsidRPr="00250523" w:rsidRDefault="009F713F" w:rsidP="009F713F">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F713F">
        <w:rPr>
          <w:rFonts w:ascii="Aptos Display" w:hAnsi="Aptos Display"/>
          <w:lang w:val="it-IT"/>
        </w:rPr>
        <w:lastRenderedPageBreak/>
        <w:t xml:space="preserve">Il messaggio complessivo che emerge dal documento </w:t>
      </w:r>
      <w:proofErr w:type="spellStart"/>
      <w:r w:rsidRPr="009F713F">
        <w:rPr>
          <w:rFonts w:ascii="Aptos Display" w:hAnsi="Aptos Display"/>
          <w:lang w:val="it-IT"/>
        </w:rPr>
        <w:t>Assirevi</w:t>
      </w:r>
      <w:proofErr w:type="spellEnd"/>
      <w:r w:rsidRPr="009F713F">
        <w:rPr>
          <w:rFonts w:ascii="Aptos Display" w:hAnsi="Aptos Display"/>
          <w:lang w:val="it-IT"/>
        </w:rPr>
        <w:t xml:space="preserve"> è di equilibrio. L’innovazione tecnologica rappresenta un’opportunità concreta per innalzare la qualità e l’efficacia della revisione, a condizione che venga inserita in un framework tecnico e normativo coerente e governato. In questa prospettiva, l’IA non sostituisce il revisore, ma ne rafforza il ruolo, preservando i principi di indipendenza, rigore metodologico e responsabilità che costituiscono il fondamento della funzione di revisione in un contesto economico sempre più complesso e digitalizzato.</w:t>
      </w:r>
    </w:p>
    <w:p w14:paraId="0A82DE3A" w14:textId="1389C8F8" w:rsidR="009F4DD7" w:rsidRPr="009F4DD7" w:rsidRDefault="009F4DD7" w:rsidP="00250523">
      <w:pPr>
        <w:pBdr>
          <w:top w:val="single" w:sz="4" w:space="1" w:color="auto"/>
          <w:left w:val="single" w:sz="4" w:space="4" w:color="auto"/>
          <w:bottom w:val="single" w:sz="4" w:space="1" w:color="auto"/>
          <w:right w:val="single" w:sz="4" w:space="4" w:color="auto"/>
        </w:pBdr>
        <w:jc w:val="both"/>
        <w:rPr>
          <w:rFonts w:ascii="Aptos Display" w:hAnsi="Aptos Display"/>
          <w:lang w:val="it-IT"/>
        </w:rPr>
      </w:pPr>
    </w:p>
    <w:sectPr w:rsidR="009F4DD7" w:rsidRPr="009F4DD7" w:rsidSect="00300888">
      <w:headerReference w:type="default" r:id="rId9"/>
      <w:pgSz w:w="12240" w:h="15840"/>
      <w:pgMar w:top="1417" w:right="1134" w:bottom="1134" w:left="1134"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98A0A" w14:textId="77777777" w:rsidR="00D028E9" w:rsidRDefault="00D028E9">
      <w:pPr>
        <w:spacing w:after="0" w:line="240" w:lineRule="auto"/>
      </w:pPr>
      <w:r>
        <w:separator/>
      </w:r>
    </w:p>
  </w:endnote>
  <w:endnote w:type="continuationSeparator" w:id="0">
    <w:p w14:paraId="0EF6EB1C" w14:textId="77777777" w:rsidR="00D028E9" w:rsidRDefault="00D02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B0E5B" w14:textId="77777777" w:rsidR="00D028E9" w:rsidRDefault="00D028E9">
      <w:pPr>
        <w:spacing w:after="0" w:line="240" w:lineRule="auto"/>
      </w:pPr>
      <w:r>
        <w:separator/>
      </w:r>
    </w:p>
  </w:footnote>
  <w:footnote w:type="continuationSeparator" w:id="0">
    <w:p w14:paraId="6FD111E0" w14:textId="77777777" w:rsidR="00D028E9" w:rsidRDefault="00D028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5147" w14:textId="77777777" w:rsidR="00300888" w:rsidRDefault="00300888" w:rsidP="00D01F7E">
    <w:pPr>
      <w:rPr>
        <w:rFonts w:ascii="Aptos Display" w:hAnsi="Aptos Display"/>
        <w:lang w:val="it-IT"/>
      </w:rPr>
    </w:pPr>
  </w:p>
  <w:p w14:paraId="0CF7BF41" w14:textId="77777777" w:rsidR="00300888" w:rsidRPr="00D01F7E" w:rsidRDefault="00300888"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888"/>
    <w:rsid w:val="00017593"/>
    <w:rsid w:val="000C0D34"/>
    <w:rsid w:val="000D7F3B"/>
    <w:rsid w:val="00113298"/>
    <w:rsid w:val="00142FE5"/>
    <w:rsid w:val="001560B8"/>
    <w:rsid w:val="00171406"/>
    <w:rsid w:val="001D4AAC"/>
    <w:rsid w:val="002000D4"/>
    <w:rsid w:val="00250523"/>
    <w:rsid w:val="002A476E"/>
    <w:rsid w:val="002E37B9"/>
    <w:rsid w:val="00300888"/>
    <w:rsid w:val="003655F9"/>
    <w:rsid w:val="00530CDF"/>
    <w:rsid w:val="0054586C"/>
    <w:rsid w:val="005F2644"/>
    <w:rsid w:val="007134B2"/>
    <w:rsid w:val="0077242A"/>
    <w:rsid w:val="008644A4"/>
    <w:rsid w:val="008B3BEB"/>
    <w:rsid w:val="008D20BF"/>
    <w:rsid w:val="009221FC"/>
    <w:rsid w:val="00966CCE"/>
    <w:rsid w:val="009B6269"/>
    <w:rsid w:val="009F4DD7"/>
    <w:rsid w:val="009F713F"/>
    <w:rsid w:val="00AB582C"/>
    <w:rsid w:val="00AD1580"/>
    <w:rsid w:val="00B3122F"/>
    <w:rsid w:val="00BB4E98"/>
    <w:rsid w:val="00BB5D41"/>
    <w:rsid w:val="00C35678"/>
    <w:rsid w:val="00C4167A"/>
    <w:rsid w:val="00C64766"/>
    <w:rsid w:val="00D028E9"/>
    <w:rsid w:val="00DB415A"/>
    <w:rsid w:val="00DF69F4"/>
    <w:rsid w:val="00EE5193"/>
    <w:rsid w:val="00F33CFD"/>
    <w:rsid w:val="00FB0A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90BF4"/>
  <w15:chartTrackingRefBased/>
  <w15:docId w15:val="{391A591E-48FC-4633-855B-0F31F046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0888"/>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30088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it-IT"/>
      <w14:ligatures w14:val="standardContextual"/>
    </w:rPr>
  </w:style>
  <w:style w:type="paragraph" w:styleId="Titolo2">
    <w:name w:val="heading 2"/>
    <w:basedOn w:val="Normale"/>
    <w:next w:val="Normale"/>
    <w:link w:val="Titolo2Carattere"/>
    <w:uiPriority w:val="9"/>
    <w:semiHidden/>
    <w:unhideWhenUsed/>
    <w:qFormat/>
    <w:rsid w:val="0030088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it-IT"/>
      <w14:ligatures w14:val="standardContextual"/>
    </w:rPr>
  </w:style>
  <w:style w:type="paragraph" w:styleId="Titolo3">
    <w:name w:val="heading 3"/>
    <w:basedOn w:val="Normale"/>
    <w:next w:val="Normale"/>
    <w:link w:val="Titolo3Carattere"/>
    <w:uiPriority w:val="9"/>
    <w:semiHidden/>
    <w:unhideWhenUsed/>
    <w:qFormat/>
    <w:rsid w:val="00300888"/>
    <w:pPr>
      <w:keepNext/>
      <w:keepLines/>
      <w:spacing w:before="160" w:after="80" w:line="259" w:lineRule="auto"/>
      <w:outlineLvl w:val="2"/>
    </w:pPr>
    <w:rPr>
      <w:rFonts w:eastAsiaTheme="majorEastAsia" w:cstheme="majorBidi"/>
      <w:color w:val="0F4761" w:themeColor="accent1" w:themeShade="BF"/>
      <w:kern w:val="2"/>
      <w:sz w:val="28"/>
      <w:szCs w:val="28"/>
      <w:lang w:val="it-IT"/>
      <w14:ligatures w14:val="standardContextual"/>
    </w:rPr>
  </w:style>
  <w:style w:type="paragraph" w:styleId="Titolo4">
    <w:name w:val="heading 4"/>
    <w:basedOn w:val="Normale"/>
    <w:next w:val="Normale"/>
    <w:link w:val="Titolo4Carattere"/>
    <w:uiPriority w:val="9"/>
    <w:semiHidden/>
    <w:unhideWhenUsed/>
    <w:qFormat/>
    <w:rsid w:val="00300888"/>
    <w:pPr>
      <w:keepNext/>
      <w:keepLines/>
      <w:spacing w:before="80" w:after="40" w:line="259" w:lineRule="auto"/>
      <w:outlineLvl w:val="3"/>
    </w:pPr>
    <w:rPr>
      <w:rFonts w:eastAsiaTheme="majorEastAsia" w:cstheme="majorBidi"/>
      <w:i/>
      <w:iCs/>
      <w:color w:val="0F4761" w:themeColor="accent1" w:themeShade="BF"/>
      <w:kern w:val="2"/>
      <w:lang w:val="it-IT"/>
      <w14:ligatures w14:val="standardContextual"/>
    </w:rPr>
  </w:style>
  <w:style w:type="paragraph" w:styleId="Titolo5">
    <w:name w:val="heading 5"/>
    <w:basedOn w:val="Normale"/>
    <w:next w:val="Normale"/>
    <w:link w:val="Titolo5Carattere"/>
    <w:uiPriority w:val="9"/>
    <w:semiHidden/>
    <w:unhideWhenUsed/>
    <w:qFormat/>
    <w:rsid w:val="00300888"/>
    <w:pPr>
      <w:keepNext/>
      <w:keepLines/>
      <w:spacing w:before="80" w:after="40" w:line="259" w:lineRule="auto"/>
      <w:outlineLvl w:val="4"/>
    </w:pPr>
    <w:rPr>
      <w:rFonts w:eastAsiaTheme="majorEastAsia" w:cstheme="majorBidi"/>
      <w:color w:val="0F4761" w:themeColor="accent1" w:themeShade="BF"/>
      <w:kern w:val="2"/>
      <w:lang w:val="it-IT"/>
      <w14:ligatures w14:val="standardContextual"/>
    </w:rPr>
  </w:style>
  <w:style w:type="paragraph" w:styleId="Titolo6">
    <w:name w:val="heading 6"/>
    <w:basedOn w:val="Normale"/>
    <w:next w:val="Normale"/>
    <w:link w:val="Titolo6Carattere"/>
    <w:uiPriority w:val="9"/>
    <w:semiHidden/>
    <w:unhideWhenUsed/>
    <w:qFormat/>
    <w:rsid w:val="00300888"/>
    <w:pPr>
      <w:keepNext/>
      <w:keepLines/>
      <w:spacing w:before="40" w:after="0" w:line="259" w:lineRule="auto"/>
      <w:outlineLvl w:val="5"/>
    </w:pPr>
    <w:rPr>
      <w:rFonts w:eastAsiaTheme="majorEastAsia" w:cstheme="majorBidi"/>
      <w:i/>
      <w:iCs/>
      <w:color w:val="595959" w:themeColor="text1" w:themeTint="A6"/>
      <w:kern w:val="2"/>
      <w:lang w:val="it-IT"/>
      <w14:ligatures w14:val="standardContextual"/>
    </w:rPr>
  </w:style>
  <w:style w:type="paragraph" w:styleId="Titolo7">
    <w:name w:val="heading 7"/>
    <w:basedOn w:val="Normale"/>
    <w:next w:val="Normale"/>
    <w:link w:val="Titolo7Carattere"/>
    <w:uiPriority w:val="9"/>
    <w:semiHidden/>
    <w:unhideWhenUsed/>
    <w:qFormat/>
    <w:rsid w:val="00300888"/>
    <w:pPr>
      <w:keepNext/>
      <w:keepLines/>
      <w:spacing w:before="40" w:after="0" w:line="259" w:lineRule="auto"/>
      <w:outlineLvl w:val="6"/>
    </w:pPr>
    <w:rPr>
      <w:rFonts w:eastAsiaTheme="majorEastAsia" w:cstheme="majorBidi"/>
      <w:color w:val="595959" w:themeColor="text1" w:themeTint="A6"/>
      <w:kern w:val="2"/>
      <w:lang w:val="it-IT"/>
      <w14:ligatures w14:val="standardContextual"/>
    </w:rPr>
  </w:style>
  <w:style w:type="paragraph" w:styleId="Titolo8">
    <w:name w:val="heading 8"/>
    <w:basedOn w:val="Normale"/>
    <w:next w:val="Normale"/>
    <w:link w:val="Titolo8Carattere"/>
    <w:uiPriority w:val="9"/>
    <w:semiHidden/>
    <w:unhideWhenUsed/>
    <w:qFormat/>
    <w:rsid w:val="00300888"/>
    <w:pPr>
      <w:keepNext/>
      <w:keepLines/>
      <w:spacing w:after="0" w:line="259" w:lineRule="auto"/>
      <w:outlineLvl w:val="7"/>
    </w:pPr>
    <w:rPr>
      <w:rFonts w:eastAsiaTheme="majorEastAsia" w:cstheme="majorBidi"/>
      <w:i/>
      <w:iCs/>
      <w:color w:val="272727" w:themeColor="text1" w:themeTint="D8"/>
      <w:kern w:val="2"/>
      <w:lang w:val="it-IT"/>
      <w14:ligatures w14:val="standardContextual"/>
    </w:rPr>
  </w:style>
  <w:style w:type="paragraph" w:styleId="Titolo9">
    <w:name w:val="heading 9"/>
    <w:basedOn w:val="Normale"/>
    <w:next w:val="Normale"/>
    <w:link w:val="Titolo9Carattere"/>
    <w:uiPriority w:val="9"/>
    <w:semiHidden/>
    <w:unhideWhenUsed/>
    <w:qFormat/>
    <w:rsid w:val="00300888"/>
    <w:pPr>
      <w:keepNext/>
      <w:keepLines/>
      <w:spacing w:after="0" w:line="259" w:lineRule="auto"/>
      <w:outlineLvl w:val="8"/>
    </w:pPr>
    <w:rPr>
      <w:rFonts w:eastAsiaTheme="majorEastAsia" w:cstheme="majorBidi"/>
      <w:color w:val="272727" w:themeColor="text1" w:themeTint="D8"/>
      <w:kern w:val="2"/>
      <w:lang w:val="it-IT"/>
      <w14:ligatures w14:val="standardContextual"/>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0088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0088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0088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0088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0088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0088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0088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0088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0088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00888"/>
    <w:pPr>
      <w:spacing w:after="80" w:line="240" w:lineRule="auto"/>
      <w:contextualSpacing/>
    </w:pPr>
    <w:rPr>
      <w:rFonts w:asciiTheme="majorHAnsi" w:eastAsiaTheme="majorEastAsia" w:hAnsiTheme="majorHAnsi" w:cstheme="majorBidi"/>
      <w:spacing w:val="-10"/>
      <w:kern w:val="28"/>
      <w:sz w:val="56"/>
      <w:szCs w:val="56"/>
      <w:lang w:val="it-IT"/>
      <w14:ligatures w14:val="standardContextual"/>
    </w:rPr>
  </w:style>
  <w:style w:type="character" w:customStyle="1" w:styleId="TitoloCarattere">
    <w:name w:val="Titolo Carattere"/>
    <w:basedOn w:val="Carpredefinitoparagrafo"/>
    <w:link w:val="Titolo"/>
    <w:uiPriority w:val="10"/>
    <w:rsid w:val="0030088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00888"/>
    <w:pPr>
      <w:numPr>
        <w:ilvl w:val="1"/>
      </w:numPr>
      <w:spacing w:after="160" w:line="259" w:lineRule="auto"/>
    </w:pPr>
    <w:rPr>
      <w:rFonts w:eastAsiaTheme="majorEastAsia" w:cstheme="majorBidi"/>
      <w:color w:val="595959" w:themeColor="text1" w:themeTint="A6"/>
      <w:spacing w:val="15"/>
      <w:kern w:val="2"/>
      <w:sz w:val="28"/>
      <w:szCs w:val="28"/>
      <w:lang w:val="it-IT"/>
      <w14:ligatures w14:val="standardContextual"/>
    </w:rPr>
  </w:style>
  <w:style w:type="character" w:customStyle="1" w:styleId="SottotitoloCarattere">
    <w:name w:val="Sottotitolo Carattere"/>
    <w:basedOn w:val="Carpredefinitoparagrafo"/>
    <w:link w:val="Sottotitolo"/>
    <w:uiPriority w:val="11"/>
    <w:rsid w:val="0030088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00888"/>
    <w:pPr>
      <w:spacing w:before="160" w:after="160" w:line="259" w:lineRule="auto"/>
      <w:jc w:val="center"/>
    </w:pPr>
    <w:rPr>
      <w:rFonts w:eastAsiaTheme="minorHAnsi"/>
      <w:i/>
      <w:iCs/>
      <w:color w:val="404040" w:themeColor="text1" w:themeTint="BF"/>
      <w:kern w:val="2"/>
      <w:lang w:val="it-IT"/>
      <w14:ligatures w14:val="standardContextual"/>
    </w:rPr>
  </w:style>
  <w:style w:type="character" w:customStyle="1" w:styleId="CitazioneCarattere">
    <w:name w:val="Citazione Carattere"/>
    <w:basedOn w:val="Carpredefinitoparagrafo"/>
    <w:link w:val="Citazione"/>
    <w:uiPriority w:val="29"/>
    <w:rsid w:val="00300888"/>
    <w:rPr>
      <w:i/>
      <w:iCs/>
      <w:color w:val="404040" w:themeColor="text1" w:themeTint="BF"/>
    </w:rPr>
  </w:style>
  <w:style w:type="paragraph" w:styleId="Paragrafoelenco">
    <w:name w:val="List Paragraph"/>
    <w:basedOn w:val="Normale"/>
    <w:uiPriority w:val="34"/>
    <w:qFormat/>
    <w:rsid w:val="00300888"/>
    <w:pPr>
      <w:spacing w:after="160" w:line="259" w:lineRule="auto"/>
      <w:ind w:left="720"/>
      <w:contextualSpacing/>
    </w:pPr>
    <w:rPr>
      <w:rFonts w:eastAsiaTheme="minorHAnsi"/>
      <w:kern w:val="2"/>
      <w:lang w:val="it-IT"/>
      <w14:ligatures w14:val="standardContextual"/>
    </w:rPr>
  </w:style>
  <w:style w:type="character" w:styleId="Enfasiintensa">
    <w:name w:val="Intense Emphasis"/>
    <w:basedOn w:val="Carpredefinitoparagrafo"/>
    <w:uiPriority w:val="21"/>
    <w:qFormat/>
    <w:rsid w:val="00300888"/>
    <w:rPr>
      <w:i/>
      <w:iCs/>
      <w:color w:val="0F4761" w:themeColor="accent1" w:themeShade="BF"/>
    </w:rPr>
  </w:style>
  <w:style w:type="paragraph" w:styleId="Citazioneintensa">
    <w:name w:val="Intense Quote"/>
    <w:basedOn w:val="Normale"/>
    <w:next w:val="Normale"/>
    <w:link w:val="CitazioneintensaCarattere"/>
    <w:uiPriority w:val="30"/>
    <w:qFormat/>
    <w:rsid w:val="0030088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it-IT"/>
      <w14:ligatures w14:val="standardContextual"/>
    </w:rPr>
  </w:style>
  <w:style w:type="character" w:customStyle="1" w:styleId="CitazioneintensaCarattere">
    <w:name w:val="Citazione intensa Carattere"/>
    <w:basedOn w:val="Carpredefinitoparagrafo"/>
    <w:link w:val="Citazioneintensa"/>
    <w:uiPriority w:val="30"/>
    <w:rsid w:val="00300888"/>
    <w:rPr>
      <w:i/>
      <w:iCs/>
      <w:color w:val="0F4761" w:themeColor="accent1" w:themeShade="BF"/>
    </w:rPr>
  </w:style>
  <w:style w:type="character" w:styleId="Riferimentointenso">
    <w:name w:val="Intense Reference"/>
    <w:basedOn w:val="Carpredefinitoparagrafo"/>
    <w:uiPriority w:val="32"/>
    <w:qFormat/>
    <w:rsid w:val="00300888"/>
    <w:rPr>
      <w:b/>
      <w:bCs/>
      <w:smallCaps/>
      <w:color w:val="0F4761" w:themeColor="accent1" w:themeShade="BF"/>
      <w:spacing w:val="5"/>
    </w:rPr>
  </w:style>
  <w:style w:type="paragraph" w:styleId="Intestazione">
    <w:name w:val="header"/>
    <w:basedOn w:val="Normale"/>
    <w:link w:val="IntestazioneCarattere"/>
    <w:uiPriority w:val="99"/>
    <w:semiHidden/>
    <w:unhideWhenUsed/>
    <w:rsid w:val="002A476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emiHidden/>
    <w:rsid w:val="002A476E"/>
    <w:rPr>
      <w:rFonts w:eastAsiaTheme="minorEastAsia"/>
      <w:kern w:val="0"/>
      <w:lang w:val="en-US"/>
      <w14:ligatures w14:val="none"/>
    </w:rPr>
  </w:style>
  <w:style w:type="paragraph" w:styleId="Pidipagina">
    <w:name w:val="footer"/>
    <w:basedOn w:val="Normale"/>
    <w:link w:val="PidipaginaCarattere"/>
    <w:uiPriority w:val="99"/>
    <w:semiHidden/>
    <w:unhideWhenUsed/>
    <w:rsid w:val="002A476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semiHidden/>
    <w:rsid w:val="002A476E"/>
    <w:rPr>
      <w:rFonts w:eastAsiaTheme="minorEastAsia"/>
      <w:kern w:val="0"/>
      <w:lang w:val="en-US"/>
      <w14:ligatures w14:val="none"/>
    </w:rPr>
  </w:style>
  <w:style w:type="paragraph" w:styleId="NormaleWeb">
    <w:name w:val="Normal (Web)"/>
    <w:basedOn w:val="Normale"/>
    <w:uiPriority w:val="99"/>
    <w:semiHidden/>
    <w:unhideWhenUsed/>
    <w:rsid w:val="00142FE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274E44-A0D6-4A70-80F0-887D00C6E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9D32D9-BC65-49BC-AA3C-C1644180B6EC}">
  <ds:schemaRefs>
    <ds:schemaRef ds:uri="http://schemas.microsoft.com/sharepoint/v3/contenttype/forms"/>
  </ds:schemaRefs>
</ds:datastoreItem>
</file>

<file path=customXml/itemProps3.xml><?xml version="1.0" encoding="utf-8"?>
<ds:datastoreItem xmlns:ds="http://schemas.openxmlformats.org/officeDocument/2006/customXml" ds:itemID="{E3BFD927-17C8-434F-A851-29A4B5FA6BB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11</cp:revision>
  <dcterms:created xsi:type="dcterms:W3CDTF">2026-02-01T15:32:00Z</dcterms:created>
  <dcterms:modified xsi:type="dcterms:W3CDTF">2026-02-01T16:16:00Z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