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0936" w14:textId="77777777" w:rsidR="008D60A4" w:rsidRDefault="008D60A4" w:rsidP="008D60A4">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0E7A894E" w14:textId="25E0E493" w:rsidR="008D60A4" w:rsidRDefault="008D60A4" w:rsidP="008D60A4">
      <w:pPr>
        <w:spacing w:after="0" w:line="240" w:lineRule="auto"/>
        <w:contextualSpacing/>
        <w:jc w:val="both"/>
        <w:rPr>
          <w:rFonts w:asciiTheme="majorHAnsi" w:eastAsiaTheme="minorHAnsi" w:hAnsiTheme="majorHAnsi"/>
          <w:b/>
          <w:bCs/>
          <w:noProof/>
          <w:kern w:val="2"/>
          <w:bdr w:val="single" w:sz="4" w:space="0" w:color="auto"/>
          <w14:ligatures w14:val="standardContextual"/>
        </w:rPr>
      </w:pPr>
      <w:r w:rsidRPr="008D60A4">
        <w:rPr>
          <w:rFonts w:asciiTheme="majorHAnsi" w:eastAsiaTheme="minorHAnsi" w:hAnsiTheme="majorHAnsi"/>
          <w:b/>
          <w:bCs/>
          <w:noProof/>
          <w:kern w:val="2"/>
          <w:bdr w:val="single" w:sz="4" w:space="0" w:color="auto"/>
          <w14:ligatures w14:val="standardContextual"/>
        </w:rPr>
        <w:t>Italia anticipa l’era dell’AI Act</w:t>
      </w:r>
    </w:p>
    <w:p w14:paraId="2D91BCC0" w14:textId="77777777" w:rsidR="008D60A4" w:rsidRPr="007F5346" w:rsidRDefault="008D60A4" w:rsidP="008D60A4">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p>
    <w:p w14:paraId="0DF2412B" w14:textId="77777777" w:rsidR="008D60A4" w:rsidRDefault="008D60A4" w:rsidP="008D60A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21BABB35" w14:textId="77777777" w:rsidR="008D60A4" w:rsidRDefault="008D60A4" w:rsidP="008D60A4">
      <w:pPr>
        <w:spacing w:after="0" w:line="240" w:lineRule="auto"/>
        <w:contextualSpacing/>
        <w:jc w:val="both"/>
        <w:rPr>
          <w:rFonts w:ascii="Aptos Display" w:hAnsi="Aptos Display"/>
          <w:noProof/>
          <w:color w:val="0F4761" w:themeColor="accent1" w:themeShade="BF"/>
          <w:lang w:val="it-IT" w:eastAsia="it-IT"/>
        </w:rPr>
      </w:pPr>
    </w:p>
    <w:p w14:paraId="5F1C598F" w14:textId="77BF8709" w:rsidR="008D60A4" w:rsidRDefault="008D60A4" w:rsidP="008D60A4">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rPr>
      </w:pPr>
      <w:r w:rsidRPr="008D60A4">
        <w:rPr>
          <w:rFonts w:ascii="Aptos Display" w:hAnsi="Aptos Display"/>
          <w:noProof/>
          <w:lang w:val="it-IT"/>
        </w:rPr>
        <w:t xml:space="preserve">L’Italia è il primo Paese Ue a legiferare sull’IA con pene penali e controlli: trasparenza obbligatoria, divieto dei deepfake ingannevoli, regole per minori e uso sul lavoro. </w:t>
      </w:r>
      <w:r w:rsidRPr="008D60A4">
        <w:rPr>
          <w:rFonts w:ascii="Aptos Display" w:hAnsi="Aptos Display"/>
          <w:noProof/>
        </w:rPr>
        <w:t>Un quadro nazionale che integra l’AI Act europeo.</w:t>
      </w:r>
    </w:p>
    <w:p w14:paraId="133CBE34" w14:textId="77777777" w:rsidR="008D60A4" w:rsidRPr="007F5346" w:rsidRDefault="008D60A4" w:rsidP="008D60A4">
      <w:pPr>
        <w:spacing w:after="0" w:line="240" w:lineRule="auto"/>
        <w:contextualSpacing/>
        <w:jc w:val="both"/>
        <w:rPr>
          <w:rFonts w:ascii="Aptos Display" w:hAnsi="Aptos Display"/>
          <w:noProof/>
          <w:lang w:val="it-IT"/>
        </w:rPr>
      </w:pPr>
    </w:p>
    <w:p w14:paraId="5DA4BB6F" w14:textId="77777777" w:rsidR="008D60A4" w:rsidRDefault="008D60A4" w:rsidP="008D60A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13B76E2A" w14:textId="77777777" w:rsidR="008D60A4" w:rsidRPr="00D01F7E" w:rsidRDefault="008D60A4" w:rsidP="008D60A4">
      <w:pPr>
        <w:spacing w:after="0" w:line="240" w:lineRule="auto"/>
        <w:contextualSpacing/>
        <w:jc w:val="both"/>
        <w:rPr>
          <w:rFonts w:ascii="Aptos Display" w:hAnsi="Aptos Display"/>
          <w:noProof/>
          <w:lang w:val="it-IT"/>
        </w:rPr>
      </w:pPr>
    </w:p>
    <w:p w14:paraId="6F2903EA"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L’Italia ha approvato la prima legge nazionale sull’intelligenza artificiale, ponendosi come Paese apripista nell’Unione Europea. Il testo integra l’AI Act europeo entrato in vigore nel 2024, anticipandone l’applicazione e fissando norme di dettaglio su trasparenza, responsabilità e sicurezza.</w:t>
      </w:r>
    </w:p>
    <w:p w14:paraId="13881209"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Il provvedimento assegna un ruolo centrale a due autorità: l’Agenzia per l’Italia Digitale (AgID), incaricata di gestire notifiche e accreditamenti, e l’Agenzia per la Cybersicurezza Nazionale (ACN), competente per vigilanza e controlli. In settori come finanza e assicurazioni è previsto il coinvolgimento della CONSOB (Commissione Nazionale per le Società e la Borsa) e dell’IVASS (Istituto per la Vigilanza sulle Assicurazioni). Anche il Garante privacy potrà intervenire nei casi che riguardano dati sensibili.</w:t>
      </w:r>
    </w:p>
    <w:p w14:paraId="662897A4"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La legge introduce obblighi stringenti: i sistemi di IA ad alto rischio dovranno garantire trasparenza nelle decisioni, tracciabilità dei processi e possibilità di intervento umano. Quando sono coinvolti minori sotto i 14 anni, l’uso di sistemi che trattano dati personali richiede il consenso esplicito dei genitori. È inoltre vietata la diffusione di deepfake ingannevoli capaci di danneggiare la reputazione delle persone, con pene da uno a cinque anni nei casi più gravi.</w:t>
      </w:r>
    </w:p>
    <w:p w14:paraId="3E4E6D82"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La strategia nazionale per l’IA, aggiornata ogni due anni, definirà linee guida e priorità di investimento. È previsto un piano da circa un miliardo di euro per sostenere ricerca, startup e PMI. Per imprese e professionisti, questo segna un cambio d’epoca: la gestione dell’IA non potrà più essere lasciata all’improvvisazione, ma dovrà basarsi su compliance documentata, audit periodici e governance interna.</w:t>
      </w:r>
    </w:p>
    <w:p w14:paraId="61CBE286"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Commercialisti, avvocati e consulenti saranno coinvolti sia come utilizzatori di sistemi AI nei propri studi, che dovranno rispettare i requisiti di trasparenza, sia come figure chiamate ad accompagnare le imprese clienti nell’adeguamento normativo. Si apre così un nuovo spazio di consulenza, dove la conoscenza delle regole digitali si intreccia con la tradizionale competenza giuridico-contabile.</w:t>
      </w:r>
    </w:p>
    <w:p w14:paraId="65BE27C3" w14:textId="77777777" w:rsidR="0088334C"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Il legame con l’AI Act europeo resta stretto: la normativa comunitaria distingue tra usi vietati, ad alto rischio e a rischio limitato. La legge italiana aggiunge strumenti operativi e un sistema di pene penali che rafforza il quadro comunitario. Per le aziende, ciò significa gestire un doppio livello di compliance, europeo e nazionale.</w:t>
      </w:r>
    </w:p>
    <w:p w14:paraId="16B70937" w14:textId="5C59A774" w:rsidR="00171406" w:rsidRPr="0088334C" w:rsidRDefault="0088334C" w:rsidP="0088334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88334C">
        <w:rPr>
          <w:rFonts w:ascii="Aptos Display" w:hAnsi="Aptos Display"/>
          <w:noProof/>
          <w:lang w:val="it-IT"/>
        </w:rPr>
        <w:t>Il nuovo contesto porta anche sfide. Saranno necessari decreti attuativi per chiarire procedure, sanzioni amministrative e coordinamento tra autorità. Senza risorse adeguate, i controlli rischiano di generare incertezze e sovrapposizioni. Tuttavia, la scelta italiana segna un cambio strutturale: l’intelligenza artificiale non è più solo terreno di innovazione tecnologica, ma ambito regolato da principi di trasparenza, responsabilità e tutela dei cittadini.</w:t>
      </w:r>
    </w:p>
    <w:sectPr w:rsidR="00171406" w:rsidRPr="0088334C" w:rsidSect="008D60A4">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B290" w14:textId="77777777" w:rsidR="008D60A4" w:rsidRDefault="008D60A4" w:rsidP="00D01F7E">
    <w:pPr>
      <w:rPr>
        <w:rFonts w:ascii="Aptos Display" w:hAnsi="Aptos Display"/>
        <w:lang w:val="it-IT"/>
      </w:rPr>
    </w:pPr>
  </w:p>
  <w:p w14:paraId="29B001F9" w14:textId="77777777" w:rsidR="008D60A4" w:rsidRPr="00D01F7E" w:rsidRDefault="008D60A4"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A4"/>
    <w:rsid w:val="00171406"/>
    <w:rsid w:val="005F2644"/>
    <w:rsid w:val="0088334C"/>
    <w:rsid w:val="008D60A4"/>
    <w:rsid w:val="00AB582C"/>
    <w:rsid w:val="00BB4E98"/>
    <w:rsid w:val="00D03B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ED32"/>
  <w15:chartTrackingRefBased/>
  <w15:docId w15:val="{AE26D4C1-04E0-49AA-B296-35FFAB905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D60A4"/>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8D6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D6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D60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D60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D60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D60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D60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D60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D60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D60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D60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D60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D60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D60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D60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D60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D60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D60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8D6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D60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D60A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D60A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D60A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D60A4"/>
    <w:rPr>
      <w:i/>
      <w:iCs/>
      <w:color w:val="404040" w:themeColor="text1" w:themeTint="BF"/>
    </w:rPr>
  </w:style>
  <w:style w:type="paragraph" w:styleId="Paragrafoelenco">
    <w:name w:val="List Paragraph"/>
    <w:basedOn w:val="Normale"/>
    <w:uiPriority w:val="34"/>
    <w:qFormat/>
    <w:rsid w:val="008D60A4"/>
    <w:pPr>
      <w:ind w:left="720"/>
      <w:contextualSpacing/>
    </w:pPr>
  </w:style>
  <w:style w:type="character" w:styleId="Enfasiintensa">
    <w:name w:val="Intense Emphasis"/>
    <w:basedOn w:val="Carpredefinitoparagrafo"/>
    <w:uiPriority w:val="21"/>
    <w:qFormat/>
    <w:rsid w:val="008D60A4"/>
    <w:rPr>
      <w:i/>
      <w:iCs/>
      <w:color w:val="0F4761" w:themeColor="accent1" w:themeShade="BF"/>
    </w:rPr>
  </w:style>
  <w:style w:type="paragraph" w:styleId="Citazioneintensa">
    <w:name w:val="Intense Quote"/>
    <w:basedOn w:val="Normale"/>
    <w:next w:val="Normale"/>
    <w:link w:val="CitazioneintensaCarattere"/>
    <w:uiPriority w:val="30"/>
    <w:qFormat/>
    <w:rsid w:val="008D6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D60A4"/>
    <w:rPr>
      <w:i/>
      <w:iCs/>
      <w:color w:val="0F4761" w:themeColor="accent1" w:themeShade="BF"/>
    </w:rPr>
  </w:style>
  <w:style w:type="character" w:styleId="Riferimentointenso">
    <w:name w:val="Intense Reference"/>
    <w:basedOn w:val="Carpredefinitoparagrafo"/>
    <w:uiPriority w:val="32"/>
    <w:qFormat/>
    <w:rsid w:val="008D6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918485-00F0-4DC4-B787-0CAF0818825E}"/>
</file>

<file path=customXml/itemProps2.xml><?xml version="1.0" encoding="utf-8"?>
<ds:datastoreItem xmlns:ds="http://schemas.openxmlformats.org/officeDocument/2006/customXml" ds:itemID="{D44ED42E-AEE5-4545-A2C9-196E9DA0605C}"/>
</file>

<file path=customXml/itemProps3.xml><?xml version="1.0" encoding="utf-8"?>
<ds:datastoreItem xmlns:ds="http://schemas.openxmlformats.org/officeDocument/2006/customXml" ds:itemID="{478E5220-3F09-4A1A-9709-E7A5E2DF5316}"/>
</file>

<file path=docProps/app.xml><?xml version="1.0" encoding="utf-8"?>
<Properties xmlns="http://schemas.openxmlformats.org/officeDocument/2006/extended-properties" xmlns:vt="http://schemas.openxmlformats.org/officeDocument/2006/docPropsVTypes">
  <Template>Normal</Template>
  <TotalTime>14</TotalTime>
  <Pages>1</Pages>
  <Words>476</Words>
  <Characters>2719</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2025-09-29T08:46:00Z</dcterms:created>
  <dcterms:modified xsi:type="dcterms:W3CDTF">2025-09-29T09:00:00Z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