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A033" w14:textId="77777777" w:rsidR="00CC1148" w:rsidRDefault="00CC1148" w:rsidP="00CC1148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7553F05D" w14:textId="1F34831C" w:rsidR="00CC1148" w:rsidRDefault="00CC1148" w:rsidP="00CC1148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14:ligatures w14:val="standardContextual"/>
        </w:rPr>
      </w:pPr>
      <w:r w:rsidRPr="00CC1148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14:ligatures w14:val="standardContextual"/>
        </w:rPr>
        <w:t>Italia, novità fiscali 2025</w:t>
      </w:r>
    </w:p>
    <w:p w14:paraId="5134E770" w14:textId="77777777" w:rsidR="00CC1148" w:rsidRPr="00767D8E" w:rsidRDefault="00CC1148" w:rsidP="00CC1148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303919FF" w14:textId="77777777" w:rsidR="00CC1148" w:rsidRDefault="00CC1148" w:rsidP="00CC1148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19A70901" w14:textId="77777777" w:rsidR="00CC1148" w:rsidRDefault="00CC1148" w:rsidP="00CC1148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083CDD37" w14:textId="6701F60E" w:rsid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La Legge di bilancio 2025 introduce novità su IVA, imposte societarie e regimi agevolati. Un provvedimento che incide su imprese e professionisti, imponendo adeguamenti e offrendo nuove opportunità di pianificazione fiscale.</w:t>
      </w:r>
    </w:p>
    <w:p w14:paraId="54813156" w14:textId="77777777" w:rsidR="00CC1148" w:rsidRPr="00CC1148" w:rsidRDefault="00CC1148" w:rsidP="00CC1148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21FF39EF" w14:textId="77777777" w:rsidR="00CC1148" w:rsidRDefault="00CC1148" w:rsidP="00CC1148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575E4D14" w14:textId="77777777" w:rsidR="00CC1148" w:rsidRPr="00D01F7E" w:rsidRDefault="00CC1148" w:rsidP="00CC1148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3D68722A" w14:textId="77777777" w:rsidR="00CC1148" w:rsidRP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La Legge di bilancio 2025 ha introdotto una serie di misure fiscali che toccano direttamente il mondo delle imprese e dei professionisti. Le novità riguardano principalmente IVA, imposte sui redditi e regimi agevolati, con l’obiettivo di stimolare la competitività del sistema economico italiano e rafforzare la compliance fiscale.</w:t>
      </w:r>
    </w:p>
    <w:p w14:paraId="6AF0910B" w14:textId="77777777" w:rsidR="00CC1148" w:rsidRP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Una delle modifiche più rilevanti riguarda l’IVA. Sono state aggiornate alcune aliquote agevolate, in particolare per i beni a basso impatto ambientale e i servizi digitali, con l’intento di favorire la transizione verde e la trasformazione tecnologica. Allo stesso tempo, sono stati introdotti nuovi obblighi di rendicontazione elettronica per rafforzare i controlli e ridurre le possibilità di evasione.</w:t>
      </w:r>
    </w:p>
    <w:p w14:paraId="29F94065" w14:textId="77777777" w:rsidR="00CC1148" w:rsidRP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Sul fronte delle imposte societarie, la manovra ha previsto incentivi per gli investimenti in ricerca e sviluppo, con crediti d’imposta rafforzati per chi punta su innovazione e sostenibilità. È stata inoltre confermata la riduzione graduale dell’IRES per le imprese che reinvestono utili in capitale produttivo o occupazione.</w:t>
      </w:r>
    </w:p>
    <w:p w14:paraId="5A281DA9" w14:textId="77777777" w:rsidR="00CC1148" w:rsidRP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Per i professionisti e le piccole imprese, vi sono novità sui regimi forfettari: sono stati innalzati i limiti di fatturato per l’accesso e introdotte semplificazioni contabili che riducono gli oneri burocratici. Questo rende più agevole l’ingresso di nuove partite IVA e consente una gestione più snella delle attività professionali.</w:t>
      </w:r>
    </w:p>
    <w:p w14:paraId="5006B45C" w14:textId="77777777" w:rsidR="00CC1148" w:rsidRP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Un altro aspetto importante riguarda il potenziamento degli strumenti di compliance collaborativa: le imprese che scelgono di comunicare in modo trasparente i propri dati fiscali potranno beneficiare di controlli semplificati e riduzione del contenzioso. È un modello che punta a rafforzare il rapporto di fiducia tra contribuenti e amministrazione finanziaria.</w:t>
      </w:r>
    </w:p>
    <w:p w14:paraId="2C4210B4" w14:textId="77777777" w:rsidR="00CC1148" w:rsidRP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Per i professionisti, queste novità comportano la necessità di aggiornarsi rapidamente e di rivedere le strategie di consulenza ai clienti. Pianificazione fiscale, gestione dei crediti d’imposta e monitoraggio delle nuove aliquote IVA diventeranno attività centrali.</w:t>
      </w:r>
    </w:p>
    <w:p w14:paraId="7D8796B7" w14:textId="77777777" w:rsidR="00CC1148" w:rsidRP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Un punto che merita attenzione riguarda anche la maggiore integrazione con i sistemi digitali. L’estensione dell’obbligo di rendicontazione elettronica e l’introduzione di piattaforme unificate renderanno ancora più necessario l’uso di software gestionali avanzati. Studi e imprese dovranno quindi investire non solo in formazione, ma anche in tecnologia.</w:t>
      </w:r>
    </w:p>
    <w:p w14:paraId="240113E6" w14:textId="1267BD80" w:rsidR="00171406" w:rsidRPr="00CC1148" w:rsidRDefault="00CC1148" w:rsidP="00CC1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CC1148">
        <w:rPr>
          <w:rFonts w:ascii="Aptos Display" w:hAnsi="Aptos Display"/>
          <w:noProof/>
          <w:lang w:val="it-IT"/>
        </w:rPr>
        <w:t>Nel complesso, la Legge di bilancio 2025 rappresenta un tentativo di coniugare rigore fiscale e sostegno all’economia reale. Resta da capire se le misure introdotte saranno sufficienti a stimolare crescita e investimenti, ma il messaggio è chiaro: il sistema fiscale italiano si muove verso una maggiore modernizzazione e trasparenza.</w:t>
      </w:r>
    </w:p>
    <w:sectPr w:rsidR="00171406" w:rsidRPr="00CC1148" w:rsidSect="00CC1148">
      <w:headerReference w:type="default" r:id="rId4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FE4DB" w14:textId="77777777" w:rsidR="00CC1148" w:rsidRDefault="00CC1148" w:rsidP="00D01F7E">
    <w:pPr>
      <w:rPr>
        <w:rFonts w:ascii="Aptos Display" w:hAnsi="Aptos Display"/>
        <w:lang w:val="it-IT"/>
      </w:rPr>
    </w:pPr>
  </w:p>
  <w:p w14:paraId="205B8BEA" w14:textId="77777777" w:rsidR="00CC1148" w:rsidRPr="00D01F7E" w:rsidRDefault="00CC1148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48"/>
    <w:rsid w:val="00171406"/>
    <w:rsid w:val="005F2644"/>
    <w:rsid w:val="00AB582C"/>
    <w:rsid w:val="00BB4E98"/>
    <w:rsid w:val="00CC1148"/>
    <w:rsid w:val="00E4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362E"/>
  <w15:chartTrackingRefBased/>
  <w15:docId w15:val="{CAE75310-F2CF-4D36-9C64-44B16489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114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11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11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11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11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11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11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C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11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11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C11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11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1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D119FD-FA66-4B08-9EDC-FC97A0955B1C}"/>
</file>

<file path=customXml/itemProps2.xml><?xml version="1.0" encoding="utf-8"?>
<ds:datastoreItem xmlns:ds="http://schemas.openxmlformats.org/officeDocument/2006/customXml" ds:itemID="{0156B4A6-CB7C-4CB7-993B-6EF557E8727B}"/>
</file>

<file path=customXml/itemProps3.xml><?xml version="1.0" encoding="utf-8"?>
<ds:datastoreItem xmlns:ds="http://schemas.openxmlformats.org/officeDocument/2006/customXml" ds:itemID="{0AC16204-8D3C-4755-B3C9-149CB232EB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2025-09-26T15:31:00Z</dcterms:created>
  <dcterms:modified xsi:type="dcterms:W3CDTF">2025-09-26T15:42:00Z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