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Governance AI e Impresa</w:t>
      </w:r>
    </w:p>
    <w:p/>
    <w:p>
      <w:pPr>
        <w:spacing w:after="120"/>
        <w:jc w:val="left"/>
      </w:pPr>
      <w:r>
        <w:rPr>
          <w:rFonts w:ascii="Calibri" w:hAnsi="Calibri"/>
          <w:b/>
          <w:color w:val="1F497D"/>
          <w:sz w:val="48"/>
        </w:rPr>
        <w:t>Chi risponde quando l'AI sbaglia in azienda? Il 91% non lo sa.</w:t>
      </w:r>
    </w:p>
    <w:p>
      <w:pPr>
        <w:spacing w:after="200"/>
        <w:jc w:val="left"/>
      </w:pPr>
      <w:r>
        <w:rPr>
          <w:rFonts w:ascii="Calibri" w:hAnsi="Calibri"/>
          <w:i/>
          <w:color w:val="2E74B5"/>
          <w:sz w:val="26"/>
        </w:rPr>
        <w:t>Il 91% delle grandi imprese italiane non ha un modello strutturato di governance dell'AI. Il 50% di quelle che gia' usano sistemi AI non ha definito modelli di responsabilita'. Con le sanzioni dell'AI Act operative, la domanda non e' piu' teorica.</w:t>
      </w:r>
    </w:p>
    <w:p>
      <w:pPr>
        <w:spacing w:after="40" w:before="40"/>
        <w:pBdr>
          <w:bottom w:val="single" w:sz="6" w:space="1" w:color="1F497D"/>
        </w:pBdr>
      </w:pPr>
    </w:p>
    <w:p>
      <w:pPr>
        <w:spacing w:after="320"/>
        <w:jc w:val="left"/>
      </w:pPr>
      <w:r>
        <w:rPr>
          <w:rFonts w:ascii="Calibri" w:hAnsi="Calibri"/>
          <w:color w:val="808080"/>
          <w:sz w:val="18"/>
        </w:rPr>
        <w:t>A cura della Redazione Ratio  •  14 agosto 2026</w:t>
      </w:r>
    </w:p>
    <w:p>
      <w:pPr>
        <w:spacing w:after="160" w:line="320" w:lineRule="exact"/>
        <w:jc w:val="both"/>
      </w:pPr>
      <w:r>
        <w:rPr>
          <w:rFonts w:ascii="Calibri" w:hAnsi="Calibri"/>
          <w:sz w:val="22"/>
        </w:rPr>
        <w:t>In molte societa' per azioni, la delega alle funzioni e' uno strumento di governo rodato: il consiglio delega all'amministratore delegato, l'amministratore delegato delega ai direttori di funzione, i direttori delegano ai responsabili operativi. La catena funziona perche' ogni passaggio e' documentato, i confini della delega sono definiti e la responsabilita' risale in caso di superamento dei limiti. Nelle stesse aziende, l'AI e' spesso entrata senza che nessuno abbia costruito una catena analoga: qualcuno ha abilitato uno strumento, qualcun altro ha cominciato a usarlo, e la domanda 'chi risponde se qualcosa va storto' non e' mai stata posta.</w:t>
      </w:r>
    </w:p>
    <w:p>
      <w:pPr>
        <w:spacing w:after="160" w:line="320" w:lineRule="exact"/>
        <w:jc w:val="both"/>
      </w:pPr>
      <w:r>
        <w:rPr>
          <w:rFonts w:ascii="Calibri" w:hAnsi="Calibri"/>
          <w:sz w:val="22"/>
        </w:rPr>
        <w:t>I dati dell'Osservatorio Permanente sull'AI del 2026 fotografano una situazione che molti avevano intuito ma che ora ha numeri precisi: il 91% delle grandi imprese italiane dichiara di non disporre di un modello strutturato di governance dell'AI; il 50% delle organizzazioni che gia' utilizzano sistemi di intelligenza artificiale e' ancora in uno stadio iniziale nella definizione dei modelli di responsabilita'. Sono numeri che riguardano le grandi imprese, quelle con piu' risorse e strutture piu' articolate. Nelle PMI, la percentuale e' presumibilmente piu' alta.</w:t>
      </w:r>
    </w:p>
    <w:p>
      <w:pPr>
        <w:spacing w:before="280" w:after="120"/>
      </w:pPr>
      <w:r>
        <w:rPr>
          <w:rFonts w:ascii="Calibri" w:hAnsi="Calibri"/>
          <w:b/>
          <w:color w:val="1F497D"/>
          <w:sz w:val="24"/>
        </w:rPr>
        <w:t>Cosa manca quando manca la governance</w:t>
      </w:r>
    </w:p>
    <w:p>
      <w:pPr>
        <w:spacing w:after="160" w:line="320" w:lineRule="exact"/>
        <w:jc w:val="both"/>
      </w:pPr>
      <w:r>
        <w:rPr>
          <w:rFonts w:ascii="Calibri" w:hAnsi="Calibri"/>
          <w:sz w:val="22"/>
        </w:rPr>
        <w:t>La governance dell'AI in un'azienda e' un sistema di risposte a quattro domande operative: chi approva l'introduzione di un nuovo strumento AI, chi ha il potere di limitarne o sospenderne l'uso, chi supervisiona le decisioni prodotte dal sistema, e chi risponde verso l'esterno in caso di danno o contestazione. In assenza di queste risposte, i rischi non scompaiono: si distribuiscono in modo disordinato tra chi ha introdotto lo strumento, chi lo usa quotidianamente e chi firma i documenti prodotti anche con l'ausilio del sistema. Per un commercialista, un consulente del lavoro o un'impresa con clienti, questa distribuzione disordinata e' un problema concreto: la responsabilita' professionale e la responsabilita' contrattuale non ammettono vuoti di attribuzione.</w:t>
      </w:r>
    </w:p>
    <w:p>
      <w:pPr>
        <w:spacing w:before="280" w:after="120"/>
      </w:pPr>
      <w:r>
        <w:rPr>
          <w:rFonts w:ascii="Calibri" w:hAnsi="Calibri"/>
          <w:b/>
          <w:color w:val="1F497D"/>
          <w:sz w:val="24"/>
        </w:rPr>
        <w:t>Cosa richiede l'AI Act</w:t>
      </w:r>
    </w:p>
    <w:p>
      <w:pPr>
        <w:spacing w:after="160" w:line="320" w:lineRule="exact"/>
        <w:jc w:val="both"/>
      </w:pPr>
      <w:r>
        <w:rPr>
          <w:rFonts w:ascii="Calibri" w:hAnsi="Calibri"/>
          <w:sz w:val="22"/>
        </w:rPr>
        <w:t>Dal 2 agosto 2026, per i sistemi AI classificati ad alto rischio secondo l'Allegato III del Regolamento, le aziende devono avere pronti e documentati: la classificazione del rischio del sistema, le istruzioni d'uso seguite, i registri di supervisione umana, la valutazione di impatto e la formazione del personale coinvolto. Per i sistemi non classificati ad alto rischio ma comunque in uso in processi rilevanti, la Legge 132/2025 e le linee guida ACN indicano che il vertice aziendale risponde delle modalita' concrete di utilizzo e delle istruzioni impartite ai dipendenti. La responsabilita' non si trasferisce al fornitore del modello ne' al sistema stesso: rimane dove e' sempre rimasta, in capo a chi ha deciso di usarlo e a chi ne ha autorizzato l'uso.</w:t>
      </w:r>
    </w:p>
    <w:p>
      <w:pPr>
        <w:spacing w:before="280" w:after="120"/>
      </w:pPr>
      <w:r>
        <w:rPr>
          <w:rFonts w:ascii="Calibri" w:hAnsi="Calibri"/>
          <w:b/>
          <w:color w:val="1F497D"/>
          <w:sz w:val="24"/>
        </w:rPr>
        <w:t>Da dove si comincia</w:t>
      </w:r>
    </w:p>
    <w:p>
      <w:pPr>
        <w:spacing w:after="160" w:line="320" w:lineRule="exact"/>
        <w:jc w:val="both"/>
      </w:pPr>
      <w:r>
        <w:rPr>
          <w:rFonts w:ascii="Calibri" w:hAnsi="Calibri"/>
          <w:sz w:val="22"/>
        </w:rPr>
        <w:t>Per uno studio professionale o una PMI che voglia costruire un modello di governance AI senza una struttura enterprise, il punto di partenza e' un censimento: quali strumenti AI sono in uso, chi li usa, per quali processi, con quale frequenza. Da questo censimento si puo' derivare una mappa minima di responsabilita': chi approva l'uso di ciascuno strumento, chi verifica gli output prima che diventino definitivi, chi risponde verso il cliente se l'output e' errato. Il documento non deve essere complesso: deve essere scritto, aggiornato e noto alle persone coinvolte. Il 91% delle grandi imprese che non ha questo documento ha una struttura molto piu' elaborata della maggior parte degli studi professionali, eppure non ha trovato il tempo di farlo. Questo non e' un buon precedente da seguire.</w:t>
      </w:r>
    </w:p>
    <w:p>
      <w:pPr>
        <w:spacing w:after="160" w:line="320" w:lineRule="exact"/>
        <w:jc w:val="both"/>
      </w:pPr>
      <w:r>
        <w:rPr>
          <w:rFonts w:ascii="Calibri" w:hAnsi="Calibri"/>
          <w:sz w:val="22"/>
        </w:rPr>
        <w:t>La delega funziona quando e' scritta, firmata e nei cassetti giusti. L'AI che nessuno ha formalmente autorizzato opera fuori da qualsiasi cassetto, e quando sbaglia non c'e' un cassetto da aprire per trovare chi risponde.</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Digitalic.it – 'Rapporto annuale dell'Osservatorio permanente sull'AI 2026' (2026)</w:t>
      </w:r>
    </w:p>
    <w:p>
      <w:pPr>
        <w:spacing w:after="40"/>
      </w:pPr>
      <w:r>
        <w:rPr>
          <w:rFonts w:ascii="Calibri" w:hAnsi="Calibri"/>
          <w:color w:val="606060"/>
          <w:sz w:val="17"/>
        </w:rPr>
        <w:t>• Agenda Digitale – 'Governance dell'AI nelle imprese: la strategia resta umana' (2026)</w:t>
      </w:r>
    </w:p>
    <w:p>
      <w:pPr>
        <w:spacing w:after="40"/>
      </w:pPr>
      <w:r>
        <w:rPr>
          <w:rFonts w:ascii="Calibri" w:hAnsi="Calibri"/>
          <w:color w:val="606060"/>
          <w:sz w:val="17"/>
        </w:rPr>
        <w:t>• ChannelTech.it – 'L'IA non e' solo tecnologia, ma una questione di governo d'impresa' (29 giugno 2026)</w:t>
      </w:r>
    </w:p>
    <w:p>
      <w:pPr>
        <w:spacing w:after="40"/>
      </w:pPr>
      <w:r>
        <w:rPr>
          <w:rFonts w:ascii="Calibri" w:hAnsi="Calibri"/>
          <w:color w:val="606060"/>
          <w:sz w:val="17"/>
        </w:rPr>
        <w:t>• Dgroove.it – 'AI Act 2026 Italia: guida pratica per aziende e IT Manager' (2026)</w:t>
      </w:r>
    </w:p>
    <w:p>
      <w:pPr>
        <w:spacing w:after="40"/>
      </w:pPr>
      <w:r>
        <w:rPr>
          <w:rFonts w:ascii="Calibri" w:hAnsi="Calibri"/>
          <w:color w:val="606060"/>
          <w:sz w:val="17"/>
        </w:rPr>
        <w:t>• Studio Legale CLF – 'Governance dell'IA in azienda: chi risponde?' (2026)</w:t>
      </w:r>
    </w:p>
    <w:p>
      <w:pPr>
        <w:spacing w:after="40"/>
      </w:pPr>
      <w:r>
        <w:rPr>
          <w:rFonts w:ascii="Calibri" w:hAnsi="Calibri"/>
          <w:color w:val="606060"/>
          <w:sz w:val="17"/>
        </w:rPr>
        <w:t>• FiscoeTasse.com – 'Regolamento intelligenza artificiale in Italia 2026: approvati i decreti' (2026)</w:t>
      </w:r>
    </w:p>
    <w:p>
      <w:pPr>
        <w:spacing w:after="40"/>
      </w:pPr>
      <w:r>
        <w:rPr>
          <w:rFonts w:ascii="Calibri" w:hAnsi="Calibri"/>
          <w:color w:val="606060"/>
          <w:sz w:val="17"/>
        </w:rPr>
        <w:t>• Regolamento UE 2024/1689 (AI Act), Allegato III e artt. 26-27</w:t>
      </w:r>
    </w:p>
    <w:p>
      <w:pPr>
        <w:spacing w:after="40"/>
      </w:pPr>
      <w:r>
        <w:rPr>
          <w:rFonts w:ascii="Calibri" w:hAnsi="Calibri"/>
          <w:color w:val="606060"/>
          <w:sz w:val="17"/>
        </w:rPr>
        <w:t>• Legge 23 settembre 2025 n. 132</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