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Agosto 2026  |  Compliance AI e PMI</w:t>
      </w:r>
    </w:p>
    <w:p/>
    <w:p>
      <w:pPr>
        <w:spacing w:after="120"/>
        <w:jc w:val="left"/>
      </w:pPr>
      <w:r>
        <w:rPr>
          <w:rFonts w:ascii="Calibri" w:hAnsi="Calibri"/>
          <w:b/>
          <w:color w:val="1F497D"/>
          <w:sz w:val="48"/>
        </w:rPr>
        <w:t>Sistemi AI in produzione, documentazione a zero: il rischio che le PMI ignorano.</w:t>
      </w:r>
    </w:p>
    <w:p>
      <w:pPr>
        <w:spacing w:after="200"/>
        <w:jc w:val="left"/>
      </w:pPr>
      <w:r>
        <w:rPr>
          <w:rFonts w:ascii="Calibri" w:hAnsi="Calibri"/>
          <w:i/>
          <w:color w:val="2E74B5"/>
          <w:sz w:val="26"/>
        </w:rPr>
        <w:t>Audit di compliance AI Act su PMI italiane tra 20 e 300 dipendenti mostrano un pattern ricorrente: sistemi gia' in produzione classificabili ad alto rischio, nessuna documentazione, nessun registro, nessuna valutazione di impatto. Le polizze cyber non coprono ancora questo rischio.</w:t>
      </w:r>
    </w:p>
    <w:p>
      <w:pPr>
        <w:spacing w:after="40" w:before="40"/>
        <w:pBdr>
          <w:bottom w:val="single" w:sz="6" w:space="1" w:color="1F497D"/>
        </w:pBdr>
      </w:pPr>
    </w:p>
    <w:p>
      <w:pPr>
        <w:spacing w:after="320"/>
        <w:jc w:val="left"/>
      </w:pPr>
      <w:r>
        <w:rPr>
          <w:rFonts w:ascii="Calibri" w:hAnsi="Calibri"/>
          <w:color w:val="808080"/>
          <w:sz w:val="18"/>
        </w:rPr>
        <w:t>A cura della Redazione Ratio  •  14 agosto 2026</w:t>
      </w:r>
    </w:p>
    <w:p>
      <w:pPr>
        <w:spacing w:after="160" w:line="320" w:lineRule="exact"/>
        <w:jc w:val="both"/>
      </w:pPr>
      <w:r>
        <w:rPr>
          <w:rFonts w:ascii="Calibri" w:hAnsi="Calibri"/>
          <w:sz w:val="22"/>
        </w:rPr>
        <w:t>Negli anni Novanta, molte piccole imprese italiane usavano software gestionali non licenziati. Non perche' fossero disoneste, ma perche' il mercato aveva corso piu' veloce della consapevolezza normativa e qualcuno aveva installato il programma senza che nessuno si chiedesse se ci fosse una licenza valida. Quando arrivo' la prima ondata di verifiche della Guardia di Finanza, il problema non era la malafede: era che nessuno aveva mai fatto la domanda giusta. Con i sistemi AI, nel 2026, si sta seguendo lo stesso schema: lo strumento e' gia' in produzione, nessuno ha chiesto se rientra tra i sistemi ad alto rischio, e la documentazione non esiste.</w:t>
      </w:r>
    </w:p>
    <w:p>
      <w:pPr>
        <w:spacing w:after="160" w:line="320" w:lineRule="exact"/>
        <w:jc w:val="both"/>
      </w:pPr>
      <w:r>
        <w:rPr>
          <w:rFonts w:ascii="Calibri" w:hAnsi="Calibri"/>
          <w:sz w:val="22"/>
        </w:rPr>
        <w:t>I primi audit di compliance AI Act condotti su PMI italiane con un organico tra venti e trecento dipendenti mostrano un pattern consistente. Le aziende hanno adottato strumenti di AI in processi che l'Allegato III del Regolamento UE 2024/1689 classifica come ad alto rischio: sistemi usati per valutare candidati in fase di assunzione, strumenti che contribuiscono a decisioni di credito o solvibilita', software che classificano clienti per profilo di rischio. In quasi tutti i casi rilevati: zero documentazione tecnica, zero registro delle operazioni, zero valutazione di impatto, zero procedura di supervisione umana documentata. Il sistema e' operativo. Gli obblighi normativi non sono stati soddisfatti.</w:t>
      </w:r>
    </w:p>
    <w:p>
      <w:pPr>
        <w:spacing w:before="280" w:after="120"/>
      </w:pPr>
      <w:r>
        <w:rPr>
          <w:rFonts w:ascii="Calibri" w:hAnsi="Calibri"/>
          <w:b/>
          <w:color w:val="1F497D"/>
          <w:sz w:val="24"/>
        </w:rPr>
        <w:t>Cosa dice l'Allegato III</w:t>
      </w:r>
    </w:p>
    <w:p>
      <w:pPr>
        <w:spacing w:after="160" w:line="320" w:lineRule="exact"/>
        <w:jc w:val="both"/>
      </w:pPr>
      <w:r>
        <w:rPr>
          <w:rFonts w:ascii="Calibri" w:hAnsi="Calibri"/>
          <w:sz w:val="22"/>
        </w:rPr>
        <w:t>L'Allegato III dell'AI Act elenca le categorie di sistemi ad alto rischio per i quali gli obblighi di documentazione, registrazione e supervisione umana sono i piu' stringenti. Rientrano in questa categoria, tra gli altri: i sistemi usati per la valutazione e selezione di candidati al lavoro o per promozioni e licenziamenti, i sistemi che determinano l'accesso o il punteggio creditizio, quelli usati per la classificazione di clienti in base a profili di rischio finanziario o assicurativo, i sistemi che influenzano decisioni in materia di prestazioni sociali. Molte PMI italiane usano strumenti che rientrano in queste categorie senza saperlo, perche' i fornitori non hanno comunicato la classificazione o perche' lo strumento e' stato introdotto come 'assistente' senza che nessuno ne abbia analizzato la funzione concreta nel processo.</w:t>
      </w:r>
    </w:p>
    <w:p>
      <w:pPr>
        <w:spacing w:before="280" w:after="120"/>
      </w:pPr>
      <w:r>
        <w:rPr>
          <w:rFonts w:ascii="Calibri" w:hAnsi="Calibri"/>
          <w:b/>
          <w:color w:val="1F497D"/>
          <w:sz w:val="24"/>
        </w:rPr>
        <w:t>Il buco nelle polizze cyber</w:t>
      </w:r>
    </w:p>
    <w:p>
      <w:pPr>
        <w:spacing w:after="160" w:line="320" w:lineRule="exact"/>
        <w:jc w:val="both"/>
      </w:pPr>
      <w:r>
        <w:rPr>
          <w:rFonts w:ascii="Calibri" w:hAnsi="Calibri"/>
          <w:sz w:val="22"/>
        </w:rPr>
        <w:t>A complicare il quadro, la maggior parte delle polizze di responsabilita' civile e cyber assicurazione disponibili sul mercato italiano non copre esplicitamente i rischi legati all'uso di agenti AI autonomi o di sistemi classificati ad alto rischio dall'AI Act. Alcune compagnie assicurative stanno introducendo prodotti dedicati, ma i premi sono ancora alti per via dell'assenza di dati storici sui sinistri correlati all'AI. Per una PMI che subisce un danno a terzi derivante da una decisione parzialmente assistita da un sistema AI non documentato, la polizza cyber standard potrebbe non rispondere, e la responsabilita' ricadrebbe direttamente sul soggetto giuridico.</w:t>
      </w:r>
    </w:p>
    <w:p>
      <w:pPr>
        <w:spacing w:before="280" w:after="120"/>
      </w:pPr>
      <w:r>
        <w:rPr>
          <w:rFonts w:ascii="Calibri" w:hAnsi="Calibri"/>
          <w:b/>
          <w:color w:val="1F497D"/>
          <w:sz w:val="24"/>
        </w:rPr>
        <w:t>Come impostare un censimento minimo</w:t>
      </w:r>
    </w:p>
    <w:p>
      <w:pPr>
        <w:spacing w:after="160" w:line="320" w:lineRule="exact"/>
        <w:jc w:val="both"/>
      </w:pPr>
      <w:r>
        <w:rPr>
          <w:rFonts w:ascii="Calibri" w:hAnsi="Calibri"/>
          <w:sz w:val="22"/>
        </w:rPr>
        <w:t>Il punto di partenza pratico, per una PMI o uno studio che voglia verificare la propria posizione, e' un censimento degli strumenti AI in uso. Non tutti i sistemi AI sono ad alto rischio: l'obiettivo del censimento e' identificare quelli che influenzano decisioni rilevanti su persone o su risorse significative. Per ciascuno di questi, la domanda e' se il fornitore ha fornito la classificazione di rischio, se esiste una procedura documentata di supervisione umana sugli output, e se il personale che usa il sistema ha ricevuto formazione adeguata. Nella maggior parte dei casi, la risposta a tutte e tre le domande sara' negativa. Saperlo e' il primo passo per non trovarsi nella stessa posizione di chi installava software senza licenza trent'anni fa: non in malafede, ma con lo stesso risultato.</w:t>
      </w:r>
    </w:p>
    <w:p>
      <w:pPr>
        <w:spacing w:after="160" w:line="320" w:lineRule="exact"/>
        <w:jc w:val="both"/>
      </w:pPr>
      <w:r>
        <w:rPr>
          <w:rFonts w:ascii="Calibri" w:hAnsi="Calibri"/>
          <w:sz w:val="22"/>
        </w:rPr>
        <w:t>La Guardia di Finanza degli anni Novanta non cercava malintenzionati: cercava chi non aveva fatto le domande giuste al momento giusto. Le autorita' di vigilanza AI del 2026 stanno iniziando lo stesso giro.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AI4Business.it – 'AI Agentica: rischi operativi e nuove strategie di governance' (2026)</w:t>
      </w:r>
    </w:p>
    <w:p>
      <w:pPr>
        <w:spacing w:after="40"/>
      </w:pPr>
      <w:r>
        <w:rPr>
          <w:rFonts w:ascii="Calibri" w:hAnsi="Calibri"/>
          <w:color w:val="606060"/>
          <w:sz w:val="17"/>
        </w:rPr>
        <w:t>• Agenda Digitale – 'Agenti AI in azienda: i 10 controlli per proteggersi dagli attacchi' (2026)</w:t>
      </w:r>
    </w:p>
    <w:p>
      <w:pPr>
        <w:spacing w:after="40"/>
      </w:pPr>
      <w:r>
        <w:rPr>
          <w:rFonts w:ascii="Calibri" w:hAnsi="Calibri"/>
          <w:color w:val="606060"/>
          <w:sz w:val="17"/>
        </w:rPr>
        <w:t>• Manager.it – 'Sicurezza degli Agenti AI in Azienda: la Guida Completa 2026' (2026)</w:t>
      </w:r>
    </w:p>
    <w:p>
      <w:pPr>
        <w:spacing w:after="40"/>
      </w:pPr>
      <w:r>
        <w:rPr>
          <w:rFonts w:ascii="Calibri" w:hAnsi="Calibri"/>
          <w:color w:val="606060"/>
          <w:sz w:val="17"/>
        </w:rPr>
        <w:t>• Blog Unique.it – 'AI Act italiano: cosa devono sapere le PMI nel 2026 per non essere fuori norma' (2026)</w:t>
      </w:r>
    </w:p>
    <w:p>
      <w:pPr>
        <w:spacing w:after="40"/>
      </w:pPr>
      <w:r>
        <w:rPr>
          <w:rFonts w:ascii="Calibri" w:hAnsi="Calibri"/>
          <w:color w:val="606060"/>
          <w:sz w:val="17"/>
        </w:rPr>
        <w:t>• TuxWeb.it – 'AI Act 2026 per PMI italiane' (2026)</w:t>
      </w:r>
    </w:p>
    <w:p>
      <w:pPr>
        <w:spacing w:after="40"/>
      </w:pPr>
      <w:r>
        <w:rPr>
          <w:rFonts w:ascii="Calibri" w:hAnsi="Calibri"/>
          <w:color w:val="606060"/>
          <w:sz w:val="17"/>
        </w:rPr>
        <w:t>• AscenSys.it – 'AI Act 2026 PMI: obblighi, scadenze e sanzioni' (2026)</w:t>
      </w:r>
    </w:p>
    <w:p>
      <w:pPr>
        <w:spacing w:after="40"/>
      </w:pPr>
      <w:r>
        <w:rPr>
          <w:rFonts w:ascii="Calibri" w:hAnsi="Calibri"/>
          <w:color w:val="606060"/>
          <w:sz w:val="17"/>
        </w:rPr>
        <w:t>• Regolamento UE 2024/1689 (AI Act), Allegato III</w:t>
      </w:r>
    </w:p>
    <w:p>
      <w:pPr>
        <w:spacing w:after="40"/>
      </w:pPr>
      <w:r>
        <w:rPr>
          <w:rFonts w:ascii="Calibri" w:hAnsi="Calibri"/>
          <w:color w:val="606060"/>
          <w:sz w:val="17"/>
        </w:rPr>
        <w:t>• Legge 23 settembre 2025 n. 132; D.Lgs. attuativi approvati dal CdM il 10 giugno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