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aps/>
          <w:color w:val="1F497D"/>
          <w:sz w:val="18"/>
        </w:rPr>
        <w:t>RATIO  •  Approfondimenti per Professionisti e Imprese</w:t>
      </w:r>
    </w:p>
    <w:p>
      <w:pPr>
        <w:spacing w:after="40" w:before="40"/>
        <w:pBdr>
          <w:bottom w:val="single" w:sz="6" w:space="1" w:color="1F497D"/>
        </w:pBdr>
      </w:pPr>
    </w:p>
    <w:p>
      <w:pPr>
        <w:jc w:val="right"/>
      </w:pPr>
      <w:r>
        <w:rPr>
          <w:rFonts w:ascii="Calibri" w:hAnsi="Calibri"/>
          <w:i/>
          <w:color w:val="606060"/>
          <w:sz w:val="17"/>
        </w:rPr>
        <w:t>Aprile 2026  |  Normativa e Studio Professionale</w:t>
      </w:r>
    </w:p>
    <w:p/>
    <w:p>
      <w:pPr>
        <w:spacing w:after="120"/>
        <w:jc w:val="left"/>
      </w:pPr>
      <w:r>
        <w:rPr>
          <w:rFonts w:ascii="Calibri" w:hAnsi="Calibri"/>
          <w:b/>
          <w:color w:val="1F497D"/>
          <w:sz w:val="48"/>
        </w:rPr>
        <w:t>Dal 10 ottobre 2025, chi usa l’AI nello studio deve dirlo al cliente per iscritto</w:t>
      </w:r>
    </w:p>
    <w:p>
      <w:pPr>
        <w:spacing w:after="200"/>
        <w:jc w:val="left"/>
      </w:pPr>
      <w:r>
        <w:rPr>
          <w:rFonts w:ascii="Calibri" w:hAnsi="Calibri"/>
          <w:i/>
          <w:color w:val="2E74B5"/>
          <w:sz w:val="26"/>
        </w:rPr>
        <w:t>L’articolo 13 della Legge 132/2025 è già in vigore. Molti studi non lo sanno ancora. Cosa prevede, quali rischi comporta ignorarlo, e come adeguarsi senza stravolgere i contratti d’incarico.</w:t>
      </w:r>
    </w:p>
    <w:p>
      <w:pPr>
        <w:spacing w:after="40" w:before="40"/>
        <w:pBdr>
          <w:bottom w:val="single" w:sz="6" w:space="1" w:color="1F497D"/>
        </w:pBdr>
      </w:pPr>
    </w:p>
    <w:p>
      <w:pPr>
        <w:spacing w:after="320"/>
        <w:jc w:val="left"/>
      </w:pPr>
      <w:r>
        <w:rPr>
          <w:rFonts w:ascii="Calibri" w:hAnsi="Calibri"/>
          <w:color w:val="808080"/>
          <w:sz w:val="18"/>
        </w:rPr>
        <w:t>A cura della Redazione Ratio  •  3 aprile 2026</w:t>
      </w:r>
    </w:p>
    <w:p>
      <w:pPr>
        <w:spacing w:after="160" w:before="0" w:line="320" w:lineRule="exact"/>
        <w:jc w:val="both"/>
      </w:pPr>
      <w:r>
        <w:rPr>
          <w:rFonts w:ascii="Calibri" w:hAnsi="Calibri"/>
          <w:i w:val="0"/>
          <w:sz w:val="22"/>
        </w:rPr>
        <w:t>Dal 10 ottobre 2025 è in vigore in Italia un obbligo che riguarda ogni professionista intellettuale — commercialista, avvocato, consulente del lavoro, ingegnere, architetto, notaio — che utilizzi strumenti di intelligenza artificiale nell’esecuzione di un incarico professionale. L’obbligo è semplice: prima di iniziare il lavoro, il professionista deve dichiararlo al cliente per iscritto. Lo stabilisce l’articolo 13 della Legge 23 settembre 2025, n. 132. A sei mesi dall’entrata in vigore, la norma è ancora sconosciuta alla maggior parte degli studi che usano quotidianamente ChatGPT, Claude o Gemini per redigere bozze, sintetizzare documenti, rispondere a quesiti normativi.</w:t>
      </w:r>
    </w:p>
    <w:p>
      <w:pPr>
        <w:spacing w:after="160" w:before="0" w:line="320" w:lineRule="exact"/>
        <w:jc w:val="both"/>
      </w:pPr>
      <w:r>
        <w:rPr>
          <w:rFonts w:ascii="Calibri" w:hAnsi="Calibri"/>
          <w:i w:val="0"/>
          <w:sz w:val="22"/>
        </w:rPr>
        <w:t>Non si tratta di un adempimento burocratico minore. Se un professionista usa un sistema AI senza averlo dichiarato e il cliente subisce un danno riconducibile a un errore dell’AI, l’omissione dell’informativa diventa un elemento aggravante della responsabilità contrattuale. Le implicazioni con le polizze di responsabilità civile professionale sono altrettanto concrete.</w:t>
      </w:r>
    </w:p>
    <w:p>
      <w:pPr>
        <w:spacing w:before="280" w:after="120"/>
      </w:pPr>
      <w:r>
        <w:rPr>
          <w:rFonts w:ascii="Calibri" w:hAnsi="Calibri"/>
          <w:b/>
          <w:color w:val="1F497D"/>
          <w:sz w:val="26"/>
        </w:rPr>
        <w:t>Cosa dice esattamente l’articolo 13</w:t>
      </w:r>
    </w:p>
    <w:p>
      <w:pPr>
        <w:spacing w:after="160" w:before="0" w:line="320" w:lineRule="exact"/>
        <w:jc w:val="both"/>
      </w:pPr>
      <w:r>
        <w:rPr>
          <w:rFonts w:ascii="Calibri" w:hAnsi="Calibri"/>
          <w:i w:val="0"/>
          <w:sz w:val="22"/>
        </w:rPr>
        <w:t>La norma prevede quattro obblighi distinti. Al momento del conferimento dell’incarico, il professionista deve comunicare al cliente, in forma scritta e con linguaggio chiaro, semplice ed esaustivo, se intende utilizzare sistemi AI nell’esecuzione della prestazione. Deve specificare quali sistemi AI userà e per quali finalità. L’informativa deve rendere esplicito che l’AI opera come strumento di supporto e che il giudizio professionale e l’attività intellettuale umana restano prevalenti. Infine, la responsabilità civile e disciplinare rimane interamente in capo al professionista, indipendentemente dal fatto che l’output sia stato generato con il supporto di un sistema AI.</w:t>
      </w:r>
    </w:p>
    <w:p>
      <w:pPr>
        <w:spacing w:after="160" w:before="0" w:line="320" w:lineRule="exact"/>
        <w:jc w:val="both"/>
      </w:pPr>
      <w:r>
        <w:rPr>
          <w:rFonts w:ascii="Calibri" w:hAnsi="Calibri"/>
          <w:i w:val="0"/>
          <w:sz w:val="22"/>
        </w:rPr>
        <w:t>La norma non vieta l’uso dell’AI. Non impone una certificazione. Non richiede che il cliente dia il consenso (salvo casi specifici legati alla normativa privacy). Richiede trasparenza preventiva. Nella pratica, questo si traduce in un’aggiunta al mandato professionale, redatta in modo comprensibile anche per chi non conosce il funzionamento dei modelli linguistici.</w:t>
      </w:r>
    </w:p>
    <w:p>
      <w:pPr>
        <w:spacing w:before="280" w:after="120"/>
      </w:pPr>
      <w:r>
        <w:rPr>
          <w:rFonts w:ascii="Calibri" w:hAnsi="Calibri"/>
          <w:b/>
          <w:color w:val="1F497D"/>
          <w:sz w:val="26"/>
        </w:rPr>
        <w:t>I rischi concreti di non adeguarsi</w:t>
      </w:r>
    </w:p>
    <w:p>
      <w:pPr>
        <w:spacing w:after="160" w:before="0" w:line="320" w:lineRule="exact"/>
        <w:jc w:val="both"/>
      </w:pPr>
      <w:r>
        <w:rPr>
          <w:rFonts w:ascii="Calibri" w:hAnsi="Calibri"/>
          <w:i w:val="0"/>
          <w:sz w:val="22"/>
        </w:rPr>
        <w:t>L’articolo 13 non prevede sanzioni amministrative dirette per la violazione dell’obbligo informativo, ma questo non significa che l’omissione sia priva di conseguenze. Il primo rischio è disciplinare: il Consiglio Nazionale Forense, il CNDCEC e gli altri ordini professionali possono rilevare il mancato rispetto di un obbligo di legge come violazione delle norme deontologiche. Diversi ordini, tra cui l’Ordine degli Avvocati di Milano e quello di Verona, hanno già emesso circolari operative sul tema a marzo 2026.</w:t>
      </w:r>
    </w:p>
    <w:p>
      <w:pPr>
        <w:spacing w:after="160" w:before="0" w:line="320" w:lineRule="exact"/>
        <w:jc w:val="both"/>
      </w:pPr>
      <w:r>
        <w:rPr>
          <w:rFonts w:ascii="Calibri" w:hAnsi="Calibri"/>
          <w:i w:val="0"/>
          <w:sz w:val="22"/>
        </w:rPr>
        <w:t>Il secondo rischio riguarda la responsabilità contrattuale. Se il cliente lamenta un errore professionale e scopre che il lavoro era stato prodotto con il supporto di un’AI, senza che gliene fosse stato fatto cenno, l’omissione dell’informativa può essere contestata come inadempimento del contratto d’incarico. Il terzo rischio è assicurativo: alcune compagnie che coprono la RC professionale stanno già inserendo clausole che condizionano la copertura alla corretta dichiarazione al cliente dell’uso di strumenti AI. Vale la pena verificare con la propria compagnia la situazione della propria polizza.</w:t>
      </w:r>
    </w:p>
    <w:p>
      <w:pPr>
        <w:spacing w:before="280" w:after="120"/>
      </w:pPr>
      <w:r>
        <w:rPr>
          <w:rFonts w:ascii="Calibri" w:hAnsi="Calibri"/>
          <w:b/>
          <w:color w:val="1F497D"/>
          <w:sz w:val="26"/>
        </w:rPr>
        <w:t>Come adeguarsi senza complicare i contratti d’incarico</w:t>
      </w:r>
    </w:p>
    <w:p>
      <w:pPr>
        <w:spacing w:after="160" w:before="0" w:line="320" w:lineRule="exact"/>
        <w:jc w:val="both"/>
      </w:pPr>
      <w:r>
        <w:rPr>
          <w:rFonts w:ascii="Calibri" w:hAnsi="Calibri"/>
          <w:i w:val="0"/>
          <w:sz w:val="22"/>
        </w:rPr>
        <w:t>L’adeguamento non richiede uno stravolgimento dei contratti in uso. La strada più semplice è predisporre un’appendice standard — una o due pagine — da allegare al mandato professionale. L’appendice descrive i sistemi AI usati dallo studio (con il grado di dettaglio ritenuto opportuno), le finalità del loro utilizzo (supporto alla ricerca normativa, redazione di bozze, sintesi di documenti), le garanzie di supervisione umana adottate e il principio di responsabilità integrale del professionista.</w:t>
      </w:r>
    </w:p>
    <w:p>
      <w:pPr>
        <w:spacing w:after="160" w:before="0" w:line="320" w:lineRule="exact"/>
        <w:jc w:val="both"/>
      </w:pPr>
      <w:r>
        <w:rPr>
          <w:rFonts w:ascii="Calibri" w:hAnsi="Calibri"/>
          <w:i w:val="0"/>
          <w:sz w:val="22"/>
        </w:rPr>
        <w:t>Diversi ordini professionali stanno mettendo a disposizione fac-simile di informativa. Prima di predisporre un testo autonomo, conviene verificare se il proprio ordine ha già pubblicato un modello sul proprio sito istituzionale. Chi si avvale di collaboratori o praticanti che usano AI deve assicurarsi che anche il loro utilizzo sia coperto dall’informativa, poiché la responsabilità ricade sul titolare dello studio o sull’iscritto all’ordine che firma il lavoro.</w:t>
      </w:r>
    </w:p>
    <w:p>
      <w:pPr>
        <w:spacing w:before="280" w:after="120"/>
      </w:pPr>
      <w:r>
        <w:rPr>
          <w:rFonts w:ascii="Calibri" w:hAnsi="Calibri"/>
          <w:b/>
          <w:color w:val="1F497D"/>
          <w:sz w:val="26"/>
        </w:rPr>
        <w:t>Un obbligo che può diventare una scelta di posizionamento</w:t>
      </w:r>
    </w:p>
    <w:p>
      <w:pPr>
        <w:spacing w:after="160" w:before="0" w:line="320" w:lineRule="exact"/>
        <w:jc w:val="both"/>
      </w:pPr>
      <w:r>
        <w:rPr>
          <w:rFonts w:ascii="Calibri" w:hAnsi="Calibri"/>
          <w:i w:val="0"/>
          <w:sz w:val="22"/>
        </w:rPr>
        <w:t>La norma nasce con un obiettivo di tutela del cliente. Ma per il professionista che la affronta con metodo, può diventare qualcosa di più. Spiegare al cliente come si usa l’AI nello studio — quali strumenti, con quale logica, con quali verifiche — è un’occasione per costruire fiducia su un tema che molti clienti guardano con incertezza. Il professionista che lo fa in modo proattivo e trasparente, prima ancora che il cliente lo chieda, si distingue da chi tratta l’AI come uno strumento invisibile da non menzionare.</w:t>
      </w:r>
    </w:p>
    <w:p>
      <w:pPr>
        <w:spacing w:after="160" w:before="0" w:line="320" w:lineRule="exact"/>
        <w:jc w:val="both"/>
      </w:pPr>
      <w:r>
        <w:rPr>
          <w:rFonts w:ascii="Calibri" w:hAnsi="Calibri"/>
          <w:i w:val="0"/>
          <w:sz w:val="22"/>
        </w:rPr>
        <w:t>La norma non chiede ai professionisti di smettere di usare l’AI. Chiede di usarla in modo trasparente. Chi trasforma questo obbligo in un elemento esplicito del proprio modo di lavorare scoprirà che non è solo un adempimento: è anche una conversazione che il cliente apprezza.</w:t>
      </w:r>
    </w:p>
    <w:p>
      <w:pPr>
        <w:spacing w:after="40" w:before="40"/>
        <w:pBdr>
          <w:bottom w:val="single" w:sz="6" w:space="1" w:color="1F497D"/>
        </w:pBdr>
      </w:pPr>
    </w:p>
    <w:p>
      <w:pPr>
        <w:spacing w:before="200"/>
      </w:pPr>
      <w:r>
        <w:rPr>
          <w:rFonts w:ascii="Calibri" w:hAnsi="Calibri"/>
          <w:b/>
          <w:color w:val="606060"/>
          <w:sz w:val="18"/>
        </w:rPr>
        <w:t>Fonti e riferimenti</w:t>
      </w:r>
    </w:p>
    <w:p>
      <w:pPr>
        <w:spacing w:after="40"/>
      </w:pPr>
      <w:r>
        <w:rPr>
          <w:rFonts w:ascii="Calibri" w:hAnsi="Calibri"/>
          <w:color w:val="606060"/>
          <w:sz w:val="17"/>
        </w:rPr>
        <w:t>• Legge 23 settembre 2025, n. 132, art. 13 — Obblighi informativi dei professionisti</w:t>
      </w:r>
    </w:p>
    <w:p>
      <w:pPr>
        <w:spacing w:after="40"/>
      </w:pPr>
      <w:r>
        <w:rPr>
          <w:rFonts w:ascii="Calibri" w:hAnsi="Calibri"/>
          <w:color w:val="606060"/>
          <w:sz w:val="17"/>
        </w:rPr>
        <w:t>• Informazione Fiscale — Fac-simile informativa cliente professionista AI (2026)</w:t>
      </w:r>
    </w:p>
    <w:p>
      <w:pPr>
        <w:spacing w:after="40"/>
      </w:pPr>
      <w:r>
        <w:rPr>
          <w:rFonts w:ascii="Calibri" w:hAnsi="Calibri"/>
          <w:color w:val="606060"/>
          <w:sz w:val="17"/>
        </w:rPr>
        <w:t>• Agenda Digitale — Intelligenza artificiale e avvocati: come cambia l’obbligo di trasparenza</w:t>
      </w:r>
    </w:p>
    <w:p>
      <w:pPr>
        <w:spacing w:after="40"/>
      </w:pPr>
      <w:r>
        <w:rPr>
          <w:rFonts w:ascii="Calibri" w:hAnsi="Calibri"/>
          <w:color w:val="606060"/>
          <w:sz w:val="17"/>
        </w:rPr>
        <w:t>• Il Fatto Quotidiano — I professionisti che usano l’AI hanno l’obbligo di informare i clienti (28 marzo 2026)</w:t>
      </w:r>
    </w:p>
    <w:p>
      <w:pPr>
        <w:spacing w:after="40"/>
      </w:pPr>
      <w:r>
        <w:rPr>
          <w:rFonts w:ascii="Calibri" w:hAnsi="Calibri"/>
          <w:color w:val="606060"/>
          <w:sz w:val="17"/>
        </w:rPr>
        <w:t>• Dagostinolex — Legge 132/2025 sulla IA: diritto d’autore e sanzioni penali</w:t>
      </w:r>
    </w:p>
    <w:p>
      <w:pPr>
        <w:spacing w:after="40"/>
      </w:pPr>
      <w:r>
        <w:rPr>
          <w:rFonts w:ascii="Calibri" w:hAnsi="Calibri"/>
          <w:color w:val="606060"/>
          <w:sz w:val="17"/>
        </w:rPr>
        <w:t>• Ordine degli Avvocati di Milano — Circolare operativa sull’uso dell’AI (marzo 2026)</w:t>
      </w:r>
    </w:p>
    <w:p>
      <w:pPr>
        <w:spacing w:before="320"/>
        <w:jc w:val="center"/>
      </w:pPr>
      <w:r>
        <w:rPr>
          <w:rFonts w:ascii="Calibri" w:hAnsi="Calibri"/>
          <w:i/>
          <w:color w:val="A0A0A0"/>
          <w:sz w:val="16"/>
        </w:rPr>
        <w:t>© 2026 Ratio  •  Riproduzione consentita con citazione della fonte</w:t>
      </w:r>
    </w:p>
    <w:sectPr w:rsidR="00FC693F" w:rsidRPr="0006063C" w:rsidSect="0003461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