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Normativa e Compliance</w:t>
      </w:r>
    </w:p>
    <w:p/>
    <w:p>
      <w:pPr>
        <w:spacing w:after="120"/>
        <w:jc w:val="left"/>
      </w:pPr>
      <w:r>
        <w:rPr>
          <w:rFonts w:ascii="Calibri" w:hAnsi="Calibri"/>
          <w:b/>
          <w:color w:val="1F497D"/>
          <w:sz w:val="48"/>
        </w:rPr>
        <w:t>Quattro mesi all’agosto 2026: la verifica che ogni impresa italiana deve fare sull’AI</w:t>
      </w:r>
    </w:p>
    <w:p>
      <w:pPr>
        <w:spacing w:after="200"/>
        <w:jc w:val="left"/>
      </w:pPr>
      <w:r>
        <w:rPr>
          <w:rFonts w:ascii="Calibri" w:hAnsi="Calibri"/>
          <w:i/>
          <w:color w:val="2E74B5"/>
          <w:sz w:val="26"/>
        </w:rPr>
        <w:t>Il 2 agosto 2026 entrano in piena applicazione le norme AI Act sui sistemi ad alto rischio. Chi usa AI in HR, credito o gestione operativa deve fare una verifica urgente.</w:t>
      </w:r>
    </w:p>
    <w:p>
      <w:pPr>
        <w:spacing w:after="40" w:before="40"/>
        <w:pBdr>
          <w:bottom w:val="single" w:sz="6" w:space="1" w:color="1F497D"/>
        </w:pBdr>
      </w:pPr>
    </w:p>
    <w:p>
      <w:pPr>
        <w:spacing w:after="320"/>
        <w:jc w:val="left"/>
      </w:pPr>
      <w:r>
        <w:rPr>
          <w:rFonts w:ascii="Calibri" w:hAnsi="Calibri"/>
          <w:color w:val="808080"/>
          <w:sz w:val="18"/>
        </w:rPr>
        <w:t>A cura della Redazione Ratio  •  3 aprile 2026</w:t>
      </w:r>
    </w:p>
    <w:p>
      <w:pPr>
        <w:spacing w:after="160" w:before="0" w:line="320" w:lineRule="exact"/>
        <w:jc w:val="both"/>
      </w:pPr>
      <w:r>
        <w:rPr>
          <w:rFonts w:ascii="Calibri" w:hAnsi="Calibri"/>
          <w:i w:val="0"/>
          <w:sz w:val="22"/>
        </w:rPr>
        <w:t>Il 2 agosto 2026 scattano le disposizioni più operative del Regolamento europeo sull’intelligenza artificiale (AI Act, Reg. UE 2024/1689) per i sistemi classificati ad alto rischio. Mancano quattro mesi. Per buona parte delle aziende italiane, questa è ancora una data astratta — qualcosa che riguarda i grandi gruppi, i fornitori di software, chi sviluppa tecnologia. Non è così. Qualsiasi impresa che usa un sistema AI per prendere decisioni su persone — dipendenti, clienti, fornitori — potrebbe già essere dentro il perimetro regolamentato.</w:t>
      </w:r>
    </w:p>
    <w:p>
      <w:pPr>
        <w:spacing w:after="160" w:before="0" w:line="320" w:lineRule="exact"/>
        <w:jc w:val="both"/>
      </w:pPr>
      <w:r>
        <w:rPr>
          <w:rFonts w:ascii="Calibri" w:hAnsi="Calibri"/>
          <w:i w:val="0"/>
          <w:sz w:val="22"/>
        </w:rPr>
        <w:t>L’AI Act classifica i sistemi AI in quattro categorie di rischio. Quelli a rischio inaccettabile sono vietati dal febbraio 2025. Quelli a rischio alto devono soddisfare requisiti tecnici e documentali stringenti prima di poter essere messi in uso o continuare a operare. Quelli a rischio limitato hanno solo obblighi di trasparenza. La maggior parte degli strumenti AI che uno studio professionale o una PMI usa quotidianamente — per scrivere testi, analizzare dati, rispondere a email — ricade nella categoria a rischio limitato o minimo, e non subirà cambiamenti significativi. Il nodo critico riguarda i sistemi che influenzano decisioni ad alto impatto sulle persone.</w:t>
      </w:r>
    </w:p>
    <w:p>
      <w:pPr>
        <w:spacing w:before="280" w:after="120"/>
      </w:pPr>
      <w:r>
        <w:rPr>
          <w:rFonts w:ascii="Calibri" w:hAnsi="Calibri"/>
          <w:b/>
          <w:color w:val="1F497D"/>
          <w:sz w:val="26"/>
        </w:rPr>
        <w:t>Cosa rende un sistema AI “ad alto rischio”</w:t>
      </w:r>
    </w:p>
    <w:p>
      <w:pPr>
        <w:spacing w:after="160" w:before="0" w:line="320" w:lineRule="exact"/>
        <w:jc w:val="both"/>
      </w:pPr>
      <w:r>
        <w:rPr>
          <w:rFonts w:ascii="Calibri" w:hAnsi="Calibri"/>
          <w:i w:val="0"/>
          <w:sz w:val="22"/>
        </w:rPr>
        <w:t>L’allegato III dell’AI Act elenca le categorie di utilizzo che determinano la classificazione ad alto rischio. Tra quelle più rilevanti per aziende e studi professionali: i sistemi usati nella selezione e valutazione del personale (screening di CV, valutazione delle performance, decisioni su avanzamenti o licenziamenti), i sistemi usati in ambito creditizio per valutare l’affidabilità di un soggetto, e quelli usati in processi amministrativi o giudiziari. Molti software HR moderni che integrano AI per il recruiting o la gestione delle performance rientrano in questa categoria.</w:t>
      </w:r>
    </w:p>
    <w:p>
      <w:pPr>
        <w:spacing w:after="160" w:before="0" w:line="320" w:lineRule="exact"/>
        <w:jc w:val="both"/>
      </w:pPr>
      <w:r>
        <w:rPr>
          <w:rFonts w:ascii="Calibri" w:hAnsi="Calibri"/>
          <w:i w:val="0"/>
          <w:sz w:val="22"/>
        </w:rPr>
        <w:t>Per i sistemi ad alto rischio, l’AI Act impone obblighi precisi. Il fornitore del sistema deve garantire la conformità tecnica e documentarla. Ma anche l’utilizzatore — l’azienda o lo studio che lo usa — ha responsabilità dirette: deve verificare che il sistema sia stato certificato, mantenere un registro degli eventi rilevanti (audit trail), assicurarsi che le decisioni prodotte dall’AI possano essere spiegate in modo comprensibile (explainability), e nominare un responsabile interno per la supervisione. Le sanzioni per le violazioni arrivano fino al 3% del fatturato mondiale annuo; per le infrazioni più gravi, al 6%.</w:t>
      </w:r>
    </w:p>
    <w:p>
      <w:pPr>
        <w:spacing w:before="280" w:after="120"/>
      </w:pPr>
      <w:r>
        <w:rPr>
          <w:rFonts w:ascii="Calibri" w:hAnsi="Calibri"/>
          <w:b/>
          <w:color w:val="1F497D"/>
          <w:sz w:val="26"/>
        </w:rPr>
        <w:t>La Legge italiana 132/2025: il quadro nazionale</w:t>
      </w:r>
    </w:p>
    <w:p>
      <w:pPr>
        <w:spacing w:after="160" w:before="0" w:line="320" w:lineRule="exact"/>
        <w:jc w:val="both"/>
      </w:pPr>
      <w:r>
        <w:rPr>
          <w:rFonts w:ascii="Calibri" w:hAnsi="Calibri"/>
          <w:i w:val="0"/>
          <w:sz w:val="22"/>
        </w:rPr>
        <w:t>Al framework europeo si aggiunge la Legge 132 del 23 settembre 2025, la prima legge nazionale sull’AI in Europa, in vigore dal 10 ottobre 2025. Il provvedimento ha stanziato un miliardo di euro per supportare startup e PMI nei settori AI e tecnologie correlate, ma ha anche introdotto norme operative che si sommano agli obblighi europei. Tra le disposizioni più rilevanti per le imprese: l’obbligo di valutazione preventiva dell’impatto sui diritti dei lavoratori per i sistemi AI usati in HR e gestione operativa, con procedure di consultazione sindacale in alcuni casi.</w:t>
      </w:r>
    </w:p>
    <w:p>
      <w:pPr>
        <w:spacing w:after="160" w:before="0" w:line="320" w:lineRule="exact"/>
        <w:jc w:val="both"/>
      </w:pPr>
      <w:r>
        <w:rPr>
          <w:rFonts w:ascii="Calibri" w:hAnsi="Calibri"/>
          <w:i w:val="0"/>
          <w:sz w:val="22"/>
        </w:rPr>
        <w:t>I dati dell’ISTAT certificati a dicembre 2025 mostrano che il 16,4% delle imprese italiane con almeno dieci addetti usa già almeno una tecnologia AI — un dato raddoppiato rispetto all’8,2% del 2024. Significa che circa una impresa su sei è già dentro il perimetro regolamentato, spesso senza averlo verificato sistematicamente.</w:t>
      </w:r>
    </w:p>
    <w:p>
      <w:pPr>
        <w:spacing w:before="280" w:after="120"/>
      </w:pPr>
      <w:r>
        <w:rPr>
          <w:rFonts w:ascii="Calibri" w:hAnsi="Calibri"/>
          <w:b/>
          <w:color w:val="1F497D"/>
          <w:sz w:val="26"/>
        </w:rPr>
        <w:t>Il ruolo dei consulenti e dei commercialisti</w:t>
      </w:r>
    </w:p>
    <w:p>
      <w:pPr>
        <w:spacing w:after="160" w:before="0" w:line="320" w:lineRule="exact"/>
        <w:jc w:val="both"/>
      </w:pPr>
      <w:r>
        <w:rPr>
          <w:rFonts w:ascii="Calibri" w:hAnsi="Calibri"/>
          <w:i w:val="0"/>
          <w:sz w:val="22"/>
        </w:rPr>
        <w:t>Per i consulenti d’impresa, gli avvocati e i commercialisti, questo scenario apre un fronte di lavoro significativo. La compliance AI non è una questione puramente informatica: richiede la capacità di leggere un processo aziendale, identificare dove vengono usati sistemi AI, classificarli rispetto alle categorie di rischio del Regolamento, e valutare se la documentazione tecnica prodotta dal fornitore del software è sufficiente. È un percorso analogo a quello che molti studi hanno fatto con il GDPR tra il 2017 e il 2018: chi si è attrezzato prima ha potuto costruire una competenza spendibile sul mercato.</w:t>
      </w:r>
    </w:p>
    <w:p>
      <w:pPr>
        <w:spacing w:after="160" w:before="0" w:line="320" w:lineRule="exact"/>
        <w:jc w:val="both"/>
      </w:pPr>
      <w:r>
        <w:rPr>
          <w:rFonts w:ascii="Calibri" w:hAnsi="Calibri"/>
          <w:i w:val="0"/>
          <w:sz w:val="22"/>
        </w:rPr>
        <w:t>Sul piano pratico, il primo passo per uno studio è mappare i sistemi AI usati dai propri clienti PMI: software HR, strumenti di credit scoring, sistemi di valutazione delle performance. Per ciascuno, verificare se il fornitore ha già avviato il percorso di conformità AI Act e se esiste documentazione tecnica disponibile. In molti casi, questa verifica porterà a scoprire che il fornitore del software non ha ancora affrontato il tema, il che è già un’informazione importante da trasferire al cliente.</w:t>
      </w:r>
    </w:p>
    <w:p>
      <w:pPr>
        <w:spacing w:before="280" w:after="120"/>
      </w:pPr>
      <w:r>
        <w:rPr>
          <w:rFonts w:ascii="Calibri" w:hAnsi="Calibri"/>
          <w:b/>
          <w:color w:val="1F497D"/>
          <w:sz w:val="26"/>
        </w:rPr>
        <w:t>Cosa fare nei prossimi quattro mesi</w:t>
      </w:r>
    </w:p>
    <w:p>
      <w:pPr>
        <w:spacing w:after="160" w:before="0" w:line="320" w:lineRule="exact"/>
        <w:jc w:val="both"/>
      </w:pPr>
      <w:r>
        <w:rPr>
          <w:rFonts w:ascii="Calibri" w:hAnsi="Calibri"/>
          <w:i w:val="0"/>
          <w:sz w:val="22"/>
        </w:rPr>
        <w:t>Quattro mesi sono pochi per costruire un sistema di compliance completo da zero. Sono sufficienti per fare le cose più urgenti. La prima è un censimento interno: quali sistemi AI vengono usati in azienda, per quali decisioni, su quali soggetti. La seconda è verificare, per ciascun sistema, se il fornitore ha avviato il processo di certificazione AI Act e quali documenti sono già disponibili. La terza è identificare un responsabile interno che conosca il tema e possa fare da interlocutore con consulenti esterni e autorità di vigilanza.</w:t>
      </w:r>
    </w:p>
    <w:p>
      <w:pPr>
        <w:spacing w:after="160" w:before="0" w:line="320" w:lineRule="exact"/>
        <w:jc w:val="both"/>
      </w:pPr>
      <w:r>
        <w:rPr>
          <w:rFonts w:ascii="Calibri" w:hAnsi="Calibri"/>
          <w:i w:val="0"/>
          <w:sz w:val="22"/>
        </w:rPr>
        <w:t>In Italia, le autorità nazionali competenti per la vigilanza sull’AI Act sono l’Agenzia per l’Italia Digitale (AGID) e l’Agenzia per la Cybersicurezza Nazionale (ACN), mentre il Garante Privacy mantiene le proprie competenze sui profili di trattamento dei dati personali. Un’impresa che affronta oggi il censimento dei propri sistemi AI, anche in modo informale, si mette in una posizione molto più difendibile rispetto ad agosto 2026 di una che aspetta.</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Regolamento (UE) 2024/1689 — AI Act (GU UE, 12 luglio 2024)</w:t>
      </w:r>
    </w:p>
    <w:p>
      <w:pPr>
        <w:spacing w:after="40"/>
      </w:pPr>
      <w:r>
        <w:rPr>
          <w:rFonts w:ascii="Calibri" w:hAnsi="Calibri"/>
          <w:color w:val="606060"/>
          <w:sz w:val="17"/>
        </w:rPr>
        <w:t>• Legge 23 settembre 2025, n. 132 — Disposizioni in materia di intelligenza artificiale</w:t>
      </w:r>
    </w:p>
    <w:p>
      <w:pPr>
        <w:spacing w:after="40"/>
      </w:pPr>
      <w:r>
        <w:rPr>
          <w:rFonts w:ascii="Calibri" w:hAnsi="Calibri"/>
          <w:color w:val="606060"/>
          <w:sz w:val="17"/>
        </w:rPr>
        <w:t>• ISTAT — Report sull’adozione AI nelle imprese italiane, dicembre 2025</w:t>
      </w:r>
    </w:p>
    <w:p>
      <w:pPr>
        <w:spacing w:after="40"/>
      </w:pPr>
      <w:r>
        <w:rPr>
          <w:rFonts w:ascii="Calibri" w:hAnsi="Calibri"/>
          <w:color w:val="606060"/>
          <w:sz w:val="17"/>
        </w:rPr>
        <w:t>• AGID / ACN — Comunicazione sulle autorità nazionali competenti AI Act</w:t>
      </w:r>
    </w:p>
    <w:p>
      <w:pPr>
        <w:spacing w:after="40"/>
      </w:pPr>
      <w:r>
        <w:rPr>
          <w:rFonts w:ascii="Calibri" w:hAnsi="Calibri"/>
          <w:color w:val="606060"/>
          <w:sz w:val="17"/>
        </w:rPr>
        <w:t>• Tom’s Hardware Business — Agenti AI e nuove regolamentazioni, 2026</w:t>
      </w:r>
    </w:p>
    <w:p>
      <w:pPr>
        <w:spacing w:after="40"/>
      </w:pPr>
      <w:r>
        <w:rPr>
          <w:rFonts w:ascii="Calibri" w:hAnsi="Calibri"/>
          <w:color w:val="606060"/>
          <w:sz w:val="17"/>
        </w:rPr>
        <w:t>• Agenda Digitale — AI Act 2026: obblighi per le imprese</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