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aps/>
          <w:color w:val="1F497D"/>
          <w:sz w:val="18"/>
        </w:rPr>
        <w:t>RATIO  •  Approfondimenti per Professionisti e Imprese</w:t>
      </w:r>
    </w:p>
    <w:p>
      <w:pPr>
        <w:spacing w:after="40" w:before="40"/>
        <w:pBdr>
          <w:bottom w:val="single" w:sz="6" w:space="1" w:color="1F497D"/>
        </w:pBdr>
      </w:pPr>
    </w:p>
    <w:p>
      <w:pPr>
        <w:jc w:val="right"/>
      </w:pPr>
      <w:r>
        <w:rPr>
          <w:rFonts w:ascii="Calibri" w:hAnsi="Calibri"/>
          <w:i/>
          <w:color w:val="606060"/>
          <w:sz w:val="17"/>
        </w:rPr>
        <w:t>Aprile 2026  |  Strumenti e Mercato</w:t>
      </w:r>
    </w:p>
    <w:p/>
    <w:p>
      <w:pPr>
        <w:spacing w:after="120"/>
        <w:jc w:val="left"/>
      </w:pPr>
      <w:r>
        <w:rPr>
          <w:rFonts w:ascii="Calibri" w:hAnsi="Calibri"/>
          <w:b/>
          <w:color w:val="1F497D"/>
          <w:sz w:val="48"/>
        </w:rPr>
        <w:t>Tre modelli e nessuna scelta ovvia: come orientarsi tra GPT-5.4, Claude 4.6 e Gemini 3.1</w:t>
      </w:r>
    </w:p>
    <w:p>
      <w:pPr>
        <w:spacing w:after="200"/>
        <w:jc w:val="left"/>
      </w:pPr>
      <w:r>
        <w:rPr>
          <w:rFonts w:ascii="Calibri" w:hAnsi="Calibri"/>
          <w:i/>
          <w:color w:val="2E74B5"/>
          <w:sz w:val="26"/>
        </w:rPr>
        <w:t>In 45 giorni tre grandi fornitori hanno aggiornato i loro modelli quasi in simultanea. Per i professionisti, la vera notizia non è chi ha vinto il benchmark.</w:t>
      </w:r>
    </w:p>
    <w:p>
      <w:pPr>
        <w:spacing w:after="40" w:before="40"/>
        <w:pBdr>
          <w:bottom w:val="single" w:sz="6" w:space="1" w:color="1F497D"/>
        </w:pBdr>
      </w:pPr>
    </w:p>
    <w:p>
      <w:pPr>
        <w:spacing w:after="320"/>
        <w:jc w:val="left"/>
      </w:pPr>
      <w:r>
        <w:rPr>
          <w:rFonts w:ascii="Calibri" w:hAnsi="Calibri"/>
          <w:color w:val="808080"/>
          <w:sz w:val="18"/>
        </w:rPr>
        <w:t>A cura della Redazione Ratio  •  3 aprile 2026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Tra febbraio e marzo 2026, in meno di quarantacinque giorni, i tre principali fornitori di modelli linguistici hanno rilasciato aggiornamenti significativi quasi in simultanea. Anthropic ha pubblicato Claude Opus 4.6 il 5 febbraio, con nuove capacità agentiche e un record di performance sull'indice SWE-bench (80,8%). Google DeepMind ha risposto a fine febbraio con Gemini 3.1 Pro, che ha superato tredici dei sedici principali benchmark di settore e si colloca oggi in cima alla classifica complessiva. OpenAI ha chiuso il ciclo l'11 marzo con GPT-5.4, disponibile in due varianti — Thinking e Pro — con una finestra di contesto di un milione di token via API.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Chi lavora in un contesto professionale — uno studio, un ufficio amministrativo, un team di controllo di gestione — può essere tentato di leggere questa sequenza come un'ulteriore conferma che la tecnologia corre troppo veloce per essere seguita. La lettura più utile è diversa: la distanza di performance tra i modelli si è assottigliata al punto che la scelta del modello, in molti casi, ha smesso di essere la domanda più importante.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6"/>
        </w:rPr>
        <w:t>Cosa distingue davvero i tre modelli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Le differenze tra GPT-5.4, Claude 4.6 e Gemini 3.1 esistono, ma sono diventate più sottili e più dipendenti dal contesto d'uso. Claude Opus 4.6 eccelle nei compiti che richiedono precisione sequenziale e correzione autonoma degli errori: è il modello più affidabile per catene di ragionamento lunghe, dove ogni passo dipende dal precedente. Gemini 3.1 Pro ha una finestra di contesto molto ampia e si integra nativamente con l'ecosistema Google Workspace, rendendolo particolarmente efficace per chi lavora con Drive, Docs e Sheets. GPT-5.4 offre la finestra di contesto più ampia del mercato (un milione di token) e si integra con l'ecosistema Microsoft tramite Copilot, che è già presente in Teams, Word ed Excel per milioni di aziende italiane.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Il fattore costo è cambiato in modo rilevante. La concorrenza tra i tre player ha compresso i prezzi: GPT-5.4 costa oggi significativamente meno di quanto costasse GPT-4 Turbo dodici mesi fa. Per uno studio professionale o una PMI che usa questi strumenti in modo non sistematico, il costo per token è diventato una variabile marginale. Diventa rilevante solo quando si costruiscono processi automatizzati che girano decine di migliaia di volte al mese.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6"/>
        </w:rPr>
        <w:t>Il cambiamento che conta: dagli strumenti ai processi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La novità più rilevante di questo ciclo di aggiornamenti non è nei benchmark. È nel consolidamento degli agentic workflow: sistemi in cui l'AI non risponde a una domanda ma esegue un processo complesso in autonomia, usando strumenti esterni come database, caselle di posta, gestionali e portali web. Claude 4.6 ha migliorato in modo specifico questa capacità, correggendo da solo gli errori che emergono durante l'esecuzione di sequenze multi-step. GPT-5.4 può analizzare un intero fascicolo documentale — centinaia di pagine — in un singolo passaggio, grazie alla finestra di contesto estesa.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Per un commercialista o un controller, questo si traduce in qualcosa di concreto. Un agente configurato sul gestionale dello studio può raccogliere i dati del cliente, confrontarli con le scadenze fiscali del mese, identificare le anomalie nei movimenti contabili e preparare una bozza di comunicazione al cliente — senza che il professionista abbia dovuto fare nulla di più che definire l'obiettivo iniziale. Non si tratta di fantascienza: queste configurazioni sono operative oggi, su piattaforme come Microsoft Copilot, n8n e Make, e nei software verticali che stanno integrando l'AI nei flussi già esistenti.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6"/>
        </w:rPr>
        <w:t>Come scegliere, in pratica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Il criterio più efficace per orientarsi non è cercare il modello con il punteggio più alto nei benchmark, ma partire dall'ecosistema già in uso. Chi lavora prevalentemente su Microsoft 365 troverà in Copilot — alimentato da GPT-5.x — il punto di ingresso più naturale, senza dover imparare nuove interfacce. Chi è già dentro Google Workspace avrà Gemini integrato nativamente. Chi cerca la massima precisione in compiti di ragionamento complesso, come la revisione critica di contratti o la costruzione di modelli finanziari articolati, troverà in Claude un interlocutore più affidabile.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Vale la pena anche valutare la questione della localizzazione dei dati. Per gli studi che trattano informazioni riservate di clienti, la scelta di un fornitore con data center europei e contratti conformi al GDPR non è un dettaglio tecnico ma una precondizione. Su questo fronte, Microsoft Azure e Google Cloud offrono opzioni di residenza dei dati in Europa; è necessario verificare caso per caso che la specifica configurazione usata garantisca quella residenza.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6"/>
        </w:rPr>
        <w:t>La domanda che vale la pena farsi</w:t>
      </w:r>
    </w:p>
    <w:p>
      <w:pPr>
        <w:spacing w:after="160" w:before="0" w:line="320" w:lineRule="exact"/>
        <w:jc w:val="both"/>
      </w:pPr>
      <w:r>
        <w:rPr>
          <w:rFonts w:ascii="Calibri" w:hAnsi="Calibri"/>
          <w:i w:val="0"/>
          <w:sz w:val="22"/>
        </w:rPr>
        <w:t>Tre modelli eccellenti, costi in calo, capacità agentiche sempre più mature. Il rischio, paradossalmente, è che l'abbondanza di opzioni diventi un alibi per non decidere. Molti professionisti e manager italiani usano ancora questi strumenti come motori di ricerca leggermente più intelligenti: si chiede una risposta, si legge, si chiude la scheda. Il salto di valore arriva quando si smette di usare l'AI per rispondere a domande e si comincia a usarla per costruire processi. La scelta del modello diventa secondaria rispetto a questa: stiamo costruendo qualcosa che funziona, o stiamo solo aggiornando il modo in cui cerchiamo informazioni?</w:t>
      </w:r>
    </w:p>
    <w:p>
      <w:pPr>
        <w:spacing w:after="40" w:before="40"/>
        <w:pBdr>
          <w:bottom w:val="single" w:sz="6" w:space="1" w:color="1F497D"/>
        </w:pBdr>
      </w:pPr>
    </w:p>
    <w:p>
      <w:pPr>
        <w:spacing w:before="200"/>
      </w:pPr>
      <w:r>
        <w:rPr>
          <w:rFonts w:ascii="Calibri" w:hAnsi="Calibri"/>
          <w:b/>
          <w:color w:val="606060"/>
          <w:sz w:val="18"/>
        </w:rPr>
        <w:t>Fonti e riferimenti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Anthropic — Claude Opus 4.6 e Claude Sonnet 4.6: note di rilascio (febbraio 2026)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Google DeepMind — Gemini 3.1 Pro: benchmark e documentazione tecnica (febbraio 2026)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OpenAI — GPT-5.4 Thinking e Pro: note di rilascio e pricing (marzo 2026)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LM Council Benchmarks — Classifica comparativa modelli AI, aprile 2026</w:t>
      </w:r>
    </w:p>
    <w:p>
      <w:pPr>
        <w:spacing w:after="40"/>
      </w:pPr>
      <w:r>
        <w:rPr>
          <w:rFonts w:ascii="Calibri" w:hAnsi="Calibri"/>
          <w:color w:val="606060"/>
          <w:sz w:val="17"/>
        </w:rPr>
        <w:t>• Microsoft — Documentazione Copilot for Microsoft 365 (2026)</w:t>
      </w:r>
    </w:p>
    <w:p>
      <w:pPr>
        <w:spacing w:before="320"/>
        <w:jc w:val="center"/>
      </w:pPr>
      <w:r>
        <w:rPr>
          <w:rFonts w:ascii="Calibri" w:hAnsi="Calibri"/>
          <w:i/>
          <w:color w:val="A0A0A0"/>
          <w:sz w:val="16"/>
        </w:rPr>
        <w:t>© 2026 Ratio  •  Riproduzione consentita con citazione della fonte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