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7B0A5" w14:textId="77777777" w:rsidR="004E12D1" w:rsidRPr="00D01F7E" w:rsidRDefault="004E12D1" w:rsidP="004E12D1">
      <w:pPr>
        <w:spacing w:after="0" w:line="240" w:lineRule="auto"/>
        <w:contextualSpacing/>
        <w:jc w:val="both"/>
        <w:rPr>
          <w:rFonts w:ascii="Aptos Display" w:hAnsi="Aptos Display"/>
          <w:lang w:val="it-IT"/>
        </w:rPr>
      </w:pPr>
      <w:r w:rsidRPr="00D01F7E">
        <w:rPr>
          <w:rFonts w:ascii="Aptos Display" w:hAnsi="Aptos Display"/>
          <w:lang w:val="it-IT"/>
        </w:rPr>
        <w:br/>
      </w: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Titolo</w:t>
      </w:r>
      <w:r w:rsidRPr="00D01F7E">
        <w:rPr>
          <w:rFonts w:ascii="Aptos Display" w:hAnsi="Aptos Display"/>
          <w:lang w:val="it-IT"/>
        </w:rPr>
        <w:br/>
      </w:r>
    </w:p>
    <w:p w14:paraId="7470722B" w14:textId="0C2F7DD8" w:rsidR="004E12D1" w:rsidRPr="00974E10" w:rsidRDefault="001912DF" w:rsidP="004E1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rFonts w:asciiTheme="majorHAnsi" w:eastAsiaTheme="minorHAnsi" w:hAnsiTheme="majorHAnsi"/>
          <w:b/>
          <w:bCs/>
          <w:kern w:val="2"/>
          <w:lang w:val="it-IT"/>
          <w14:ligatures w14:val="standardContextual"/>
        </w:rPr>
      </w:pPr>
      <w:r w:rsidRPr="001912DF">
        <w:rPr>
          <w:rFonts w:asciiTheme="majorHAnsi" w:eastAsiaTheme="minorHAnsi" w:hAnsiTheme="majorHAnsi"/>
          <w:b/>
          <w:bCs/>
          <w:kern w:val="2"/>
          <w:lang w:val="it-IT"/>
          <w14:ligatures w14:val="standardContextual"/>
        </w:rPr>
        <w:t>AI Care: la salute entra in chat</w:t>
      </w:r>
    </w:p>
    <w:p w14:paraId="18D8DFB9" w14:textId="77777777" w:rsidR="004E12D1" w:rsidRPr="00D01F7E" w:rsidRDefault="004E12D1" w:rsidP="004E12D1">
      <w:pPr>
        <w:spacing w:after="0" w:line="240" w:lineRule="auto"/>
        <w:contextualSpacing/>
        <w:jc w:val="both"/>
        <w:rPr>
          <w:rFonts w:ascii="Aptos Display" w:hAnsi="Aptos Display"/>
          <w:lang w:val="it-IT"/>
        </w:rPr>
      </w:pP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Sottotitolo</w:t>
      </w:r>
      <w:r w:rsidRPr="00D01F7E">
        <w:rPr>
          <w:rFonts w:ascii="Aptos Display" w:hAnsi="Aptos Display"/>
          <w:lang w:val="it-IT"/>
        </w:rPr>
        <w:br/>
      </w:r>
    </w:p>
    <w:p w14:paraId="530B78AC" w14:textId="203605B8" w:rsidR="004E12D1" w:rsidRPr="001912DF" w:rsidRDefault="001912DF" w:rsidP="004E1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both"/>
        <w:rPr>
          <w:rFonts w:ascii="Aptos Display" w:hAnsi="Aptos Display"/>
          <w:lang w:val="it-IT"/>
        </w:rPr>
      </w:pPr>
      <w:r w:rsidRPr="001912DF">
        <w:rPr>
          <w:rFonts w:ascii="Aptos Display" w:hAnsi="Aptos Display"/>
          <w:lang w:val="it-IT"/>
        </w:rPr>
        <w:t>Crescono i servizi di “AI Health” che spiegano referti, suggeriscono domande al medico e incrociano dati da wearable e app. Promettono prevenzione e semplicità, ma impongono cautela su privacy, affidabilità e confini tra informazione e diagnosi.</w:t>
      </w:r>
    </w:p>
    <w:p w14:paraId="7A214EB9" w14:textId="77777777" w:rsidR="004E12D1" w:rsidRDefault="004E12D1" w:rsidP="004E12D1">
      <w:pPr>
        <w:spacing w:after="0" w:line="240" w:lineRule="auto"/>
        <w:contextualSpacing/>
        <w:jc w:val="both"/>
        <w:rPr>
          <w:rFonts w:ascii="Aptos Display" w:hAnsi="Aptos Display"/>
          <w:lang w:val="it-IT"/>
        </w:rPr>
      </w:pPr>
    </w:p>
    <w:p w14:paraId="6AD61327" w14:textId="77777777" w:rsidR="004E12D1" w:rsidRPr="00D01F7E" w:rsidRDefault="004E12D1" w:rsidP="004E12D1">
      <w:pPr>
        <w:spacing w:after="0" w:line="240" w:lineRule="auto"/>
        <w:contextualSpacing/>
        <w:jc w:val="both"/>
        <w:rPr>
          <w:rFonts w:ascii="Aptos Display" w:hAnsi="Aptos Display"/>
          <w:lang w:val="it-IT"/>
        </w:rPr>
      </w:pP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Approfondimento</w:t>
      </w:r>
      <w:r w:rsidRPr="00D01F7E">
        <w:rPr>
          <w:rFonts w:ascii="Aptos Display" w:hAnsi="Aptos Display"/>
          <w:lang w:val="it-IT"/>
        </w:rPr>
        <w:br/>
      </w:r>
    </w:p>
    <w:p w14:paraId="6402B2A9" w14:textId="150D0DA9" w:rsidR="001912DF" w:rsidRPr="001912DF" w:rsidRDefault="001912DF" w:rsidP="00191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1912DF">
        <w:rPr>
          <w:rFonts w:ascii="Aptos Display" w:hAnsi="Aptos Display"/>
          <w:lang w:val="it-IT"/>
        </w:rPr>
        <w:t>Negli ultimi mesi l’idea di “AI Care” o “AI Health” è uscita dai laboratori e sta prendendo forma in prodotti concreti: assistenti che aiutano a leggere un referto, trasformano un linguaggio medico complesso in parole comprensibili, riassumono una visita, ricordano terapie e appuntamenti, oppure collegano i dati di dispositivi indossabili con sintomi e abitudini quotidiane. È però fondamentale chiarire subito un punto: queste soluzioni non operano come medici digitali. Non formulano diagnosi, non prescrivono terapie e non sostituiscono il professionista sanitario, ma agiscono esclusivamente come strumenti di supporto informativo e organizzativo.</w:t>
      </w:r>
    </w:p>
    <w:p w14:paraId="568CF1AF" w14:textId="77777777" w:rsidR="001912DF" w:rsidRPr="001912DF" w:rsidRDefault="001912DF" w:rsidP="00191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1912DF">
        <w:rPr>
          <w:rFonts w:ascii="Aptos Display" w:hAnsi="Aptos Display"/>
          <w:lang w:val="it-IT"/>
        </w:rPr>
        <w:t>Il loro obiettivo principale è ridurre la distanza tra informazione sanitaria e paziente, soprattutto nella quotidianità, dove spesso il problema non è la mancanza di cure, ma la difficoltà di comprendere referti, monitorare parametri nel tempo e prepararsi in modo consapevole al confronto con il medico. Un assistente ben progettato può aiutare a individuare variazioni nei dati registrati, suggerire domande pertinenti da porre durante una visita e migliorare l’aderenza alle terapie, senza mai prendere decisioni cliniche autonome.</w:t>
      </w:r>
    </w:p>
    <w:p w14:paraId="78209CD0" w14:textId="77777777" w:rsidR="001912DF" w:rsidRPr="001912DF" w:rsidRDefault="001912DF" w:rsidP="00191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1912DF">
        <w:rPr>
          <w:rFonts w:ascii="Aptos Display" w:hAnsi="Aptos Display"/>
          <w:lang w:val="it-IT"/>
        </w:rPr>
        <w:t>La promessa è quella di una sanità più ordinata e preventiva, ma proprio per questo richiede grande cautela. Un sistema conversazionale può semplificare eccessivamente informazioni complesse o generare interpretazioni fuorvianti se usato in modo improprio. Il rischio principale non è tanto l’errore tecnico, quanto l’illusione di una rassicurazione automatica, che potrebbe indurre a rimandare un consulto medico reale. Per questo le soluzioni più mature impongono limiti chiari, tracciabilità delle fonti e continui richiami al ruolo centrale del professionista umano.</w:t>
      </w:r>
    </w:p>
    <w:p w14:paraId="162CDA64" w14:textId="77777777" w:rsidR="001912DF" w:rsidRPr="001912DF" w:rsidRDefault="001912DF" w:rsidP="00191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1912DF">
        <w:rPr>
          <w:rFonts w:ascii="Aptos Display" w:hAnsi="Aptos Display"/>
          <w:lang w:val="it-IT"/>
        </w:rPr>
        <w:t xml:space="preserve">Un altro aspetto cruciale riguarda la privacy. Parlare di salute significa trattare dati estremamente sensibili: referti, terapie, abitudini, fragilità personali. Se </w:t>
      </w:r>
      <w:proofErr w:type="gramStart"/>
      <w:r w:rsidRPr="001912DF">
        <w:rPr>
          <w:rFonts w:ascii="Aptos Display" w:hAnsi="Aptos Display"/>
          <w:lang w:val="it-IT"/>
        </w:rPr>
        <w:t>l’assistente integra informazioni provenienti da più app e dispositivi,</w:t>
      </w:r>
      <w:proofErr w:type="gramEnd"/>
      <w:r w:rsidRPr="001912DF">
        <w:rPr>
          <w:rFonts w:ascii="Aptos Display" w:hAnsi="Aptos Display"/>
          <w:lang w:val="it-IT"/>
        </w:rPr>
        <w:t xml:space="preserve"> diventa essenziale una governance rigorosa dei dati, fondata su consenso informato, sicurezza e trasparenza nell’utilizzo delle informazioni.</w:t>
      </w:r>
    </w:p>
    <w:p w14:paraId="56755C6D" w14:textId="456E2926" w:rsidR="004E12D1" w:rsidRPr="006475C9" w:rsidRDefault="001912DF" w:rsidP="005E79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1912DF">
        <w:rPr>
          <w:rFonts w:ascii="Aptos Display" w:hAnsi="Aptos Display"/>
          <w:lang w:val="it-IT"/>
        </w:rPr>
        <w:t>Questo modello apre anche una riflessione più ampia. Oggi l’AI accompagna le persone nella salute; domani potrebbe farlo in ambiti come la fiscalità, l’agronomia, la consulenza legale o la gestione ambientale. Il vantaggio è evidente: accesso rapido a informazioni strutturate e comprensibili. Il rischio, più sottile, è delegare eccessivamente il processo decisionale. La sfida non è fermare queste tecnologie, ma imparare a usarle come strumenti di supporto, mantenendo centrale il pensiero critico e la responsabilità umana.</w:t>
      </w:r>
      <w:r w:rsidR="006475C9">
        <w:rPr>
          <w:rFonts w:ascii="Aptos Display" w:hAnsi="Aptos Display"/>
          <w:lang w:val="it-IT"/>
        </w:rPr>
        <w:t xml:space="preserve"> </w:t>
      </w:r>
      <w:r w:rsidR="006475C9" w:rsidRPr="006475C9">
        <w:rPr>
          <w:rFonts w:ascii="Aptos Display" w:hAnsi="Aptos Display"/>
          <w:lang w:val="it-IT"/>
        </w:rPr>
        <w:t>A</w:t>
      </w:r>
      <w:r w:rsidR="006475C9" w:rsidRPr="006475C9">
        <w:rPr>
          <w:rFonts w:ascii="Aptos Display" w:hAnsi="Aptos Display"/>
          <w:lang w:val="it-IT"/>
        </w:rPr>
        <w:t>d</w:t>
      </w:r>
      <w:r w:rsidR="006475C9" w:rsidRPr="006475C9">
        <w:rPr>
          <w:rFonts w:ascii="Aptos Display" w:hAnsi="Aptos Display"/>
          <w:lang w:val="it-IT"/>
        </w:rPr>
        <w:t xml:space="preserve"> oggi la disponibilità di ChatGPT Health (in Italia “ChatGPT Salute”) non è ancora stata resa ufficialmente disponibile per gli utenti in Italia a causa di vincoli normativi e di privacy più stringenti nell’Unione Europea (SEE), inclusa l’Italia.</w:t>
      </w:r>
    </w:p>
    <w:sectPr w:rsidR="004E12D1" w:rsidRPr="006475C9" w:rsidSect="004E12D1">
      <w:headerReference w:type="default" r:id="rId10"/>
      <w:pgSz w:w="12240" w:h="15840"/>
      <w:pgMar w:top="1417" w:right="1134" w:bottom="1134" w:left="1134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FB32C" w14:textId="77777777" w:rsidR="00427C88" w:rsidRDefault="00427C88">
      <w:pPr>
        <w:spacing w:after="0" w:line="240" w:lineRule="auto"/>
      </w:pPr>
      <w:r>
        <w:separator/>
      </w:r>
    </w:p>
  </w:endnote>
  <w:endnote w:type="continuationSeparator" w:id="0">
    <w:p w14:paraId="4474CA23" w14:textId="77777777" w:rsidR="00427C88" w:rsidRDefault="00427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304DA" w14:textId="77777777" w:rsidR="00427C88" w:rsidRDefault="00427C88">
      <w:pPr>
        <w:spacing w:after="0" w:line="240" w:lineRule="auto"/>
      </w:pPr>
      <w:r>
        <w:separator/>
      </w:r>
    </w:p>
  </w:footnote>
  <w:footnote w:type="continuationSeparator" w:id="0">
    <w:p w14:paraId="49F0140B" w14:textId="77777777" w:rsidR="00427C88" w:rsidRDefault="00427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7B56F" w14:textId="77777777" w:rsidR="004E12D1" w:rsidRDefault="004E12D1" w:rsidP="00D01F7E">
    <w:pPr>
      <w:rPr>
        <w:rFonts w:ascii="Aptos Display" w:hAnsi="Aptos Display"/>
        <w:lang w:val="it-IT"/>
      </w:rPr>
    </w:pPr>
  </w:p>
  <w:p w14:paraId="78A85C7B" w14:textId="77777777" w:rsidR="004E12D1" w:rsidRPr="00D01F7E" w:rsidRDefault="004E12D1" w:rsidP="00D01F7E">
    <w:pPr>
      <w:ind w:firstLine="720"/>
      <w:jc w:val="center"/>
      <w:rPr>
        <w:rFonts w:ascii="Aptos Display" w:hAnsi="Aptos Display"/>
        <w:b/>
        <w:bCs/>
        <w:lang w:val="it-IT"/>
      </w:rPr>
    </w:pPr>
    <w:r w:rsidRPr="00D01F7E">
      <w:rPr>
        <w:rFonts w:ascii="Aptos Display" w:hAnsi="Aptos Display"/>
        <w:b/>
        <w:bCs/>
        <w:lang w:val="it-IT"/>
      </w:rPr>
      <w:t>MODULO COMPILAZIONE NOTIZIE RATIO QUOTIDIANO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2D1"/>
    <w:rsid w:val="0014661D"/>
    <w:rsid w:val="00171406"/>
    <w:rsid w:val="00176585"/>
    <w:rsid w:val="00186CEB"/>
    <w:rsid w:val="001912DF"/>
    <w:rsid w:val="002E37B9"/>
    <w:rsid w:val="00427C88"/>
    <w:rsid w:val="00492BB8"/>
    <w:rsid w:val="004E12D1"/>
    <w:rsid w:val="00530CDF"/>
    <w:rsid w:val="005E7985"/>
    <w:rsid w:val="005F2644"/>
    <w:rsid w:val="006475C9"/>
    <w:rsid w:val="00AB582C"/>
    <w:rsid w:val="00BB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84214"/>
  <w15:chartTrackingRefBased/>
  <w15:docId w15:val="{006384DD-F292-4F35-BA90-64D12AD74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E12D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E12D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it-IT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E12D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it-IT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E12D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it-IT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E12D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it-IT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E12D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it-IT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E12D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it-IT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E12D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it-IT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E12D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it-IT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E12D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it-IT"/>
      <w14:ligatures w14:val="standardContextual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E1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E1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E1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E12D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E12D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E12D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E12D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E12D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E12D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E1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4E1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E12D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it-IT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E1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E12D1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it-IT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E12D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E12D1"/>
    <w:pPr>
      <w:spacing w:after="160" w:line="259" w:lineRule="auto"/>
      <w:ind w:left="720"/>
      <w:contextualSpacing/>
    </w:pPr>
    <w:rPr>
      <w:rFonts w:eastAsiaTheme="minorHAnsi"/>
      <w:kern w:val="2"/>
      <w:lang w:val="it-IT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4E12D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E1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it-IT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E12D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E12D1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1912DF"/>
    <w:rPr>
      <w:rFonts w:ascii="Times New Roman" w:hAnsi="Times New Roman" w:cs="Times New Roman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semiHidden/>
    <w:unhideWhenUsed/>
    <w:rsid w:val="0014661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14661D"/>
    <w:rPr>
      <w:rFonts w:eastAsiaTheme="minorEastAsia"/>
      <w:kern w:val="0"/>
      <w:lang w:val="en-US"/>
      <w14:ligatures w14:val="none"/>
    </w:rPr>
  </w:style>
  <w:style w:type="paragraph" w:styleId="Pidipagina">
    <w:name w:val="footer"/>
    <w:basedOn w:val="Normale"/>
    <w:link w:val="PidipaginaCarattere"/>
    <w:uiPriority w:val="99"/>
    <w:semiHidden/>
    <w:unhideWhenUsed/>
    <w:rsid w:val="0014661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14661D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702F8D-A14F-445E-AE5E-3B68EADF2D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a3f60d-3740-4b8f-aea2-18b203205ead"/>
    <ds:schemaRef ds:uri="6c014026-a0ef-45dc-9ca9-ac355db24e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108524-59EF-4729-BD6A-2D6BFBFB27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6BE79C-8264-4EFD-BAF3-9ACC9B717132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441</Words>
  <Characters>2796</Characters>
  <Application>Microsoft Office Word</Application>
  <DocSecurity>0</DocSecurity>
  <Lines>37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Mattavelli</cp:lastModifiedBy>
  <cp:revision>5</cp:revision>
  <dcterms:created xsi:type="dcterms:W3CDTF">2026-01-19T17:11:00Z</dcterms:created>
  <dcterms:modified xsi:type="dcterms:W3CDTF">2026-01-22T17:50:00Z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  <property fmtid="{D5CDD505-2E9C-101B-9397-08002B2CF9AE}" pid="4" name="docLang">
    <vt:lpwstr>it</vt:lpwstr>
  </property>
</Properties>
</file>