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7EAF0" w14:textId="77777777" w:rsidR="00767D8E" w:rsidRDefault="00767D8E" w:rsidP="00767D8E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Titolo</w:t>
      </w:r>
      <w:r w:rsidRPr="00D01F7E">
        <w:rPr>
          <w:rFonts w:ascii="Aptos Display" w:hAnsi="Aptos Display"/>
          <w:noProof/>
          <w:lang w:val="it-IT"/>
        </w:rPr>
        <w:br/>
      </w:r>
    </w:p>
    <w:p w14:paraId="0A7ABF1A" w14:textId="77706B95" w:rsidR="00767D8E" w:rsidRDefault="00767D8E" w:rsidP="00767D8E">
      <w:pPr>
        <w:spacing w:after="0" w:line="240" w:lineRule="auto"/>
        <w:contextualSpacing/>
        <w:jc w:val="both"/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</w:pPr>
      <w:r w:rsidRPr="00767D8E"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  <w:t>UE, riforma IVA verso il digitale</w:t>
      </w:r>
    </w:p>
    <w:p w14:paraId="3F3C3A42" w14:textId="77777777" w:rsidR="00767D8E" w:rsidRPr="00767D8E" w:rsidRDefault="00767D8E" w:rsidP="00767D8E">
      <w:pPr>
        <w:spacing w:after="0" w:line="240" w:lineRule="auto"/>
        <w:contextualSpacing/>
        <w:jc w:val="both"/>
        <w:rPr>
          <w:rFonts w:asciiTheme="majorHAnsi" w:eastAsiaTheme="minorHAnsi" w:hAnsiTheme="majorHAnsi"/>
          <w:b/>
          <w:bCs/>
          <w:noProof/>
          <w:kern w:val="2"/>
          <w:bdr w:val="single" w:sz="4" w:space="0" w:color="auto"/>
          <w:lang w:val="it-IT"/>
          <w14:ligatures w14:val="standardContextual"/>
        </w:rPr>
      </w:pPr>
    </w:p>
    <w:p w14:paraId="2201EE5C" w14:textId="77777777" w:rsidR="00767D8E" w:rsidRDefault="00767D8E" w:rsidP="00767D8E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Sottotitolo</w:t>
      </w:r>
    </w:p>
    <w:p w14:paraId="3F2215D1" w14:textId="77777777" w:rsidR="00767D8E" w:rsidRDefault="00767D8E" w:rsidP="00767D8E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</w:p>
    <w:p w14:paraId="6B96D282" w14:textId="56BDFC3F" w:rsidR="00767D8E" w:rsidRDefault="00767D8E" w:rsidP="00767D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  <w:r w:rsidRPr="00767D8E">
        <w:rPr>
          <w:rFonts w:ascii="Aptos Display" w:hAnsi="Aptos Display"/>
          <w:noProof/>
          <w:lang w:val="it-IT"/>
        </w:rPr>
        <w:t>La riforma “VAT in the Digital Age” introduce fatturazione elettronica obbligatoria, segnalazione in tempo reale delle operazioni e registrazione unica UE per le imprese. Una svolta che ridisegna i rapporti tra aziende e autorità fiscali.</w:t>
      </w:r>
    </w:p>
    <w:p w14:paraId="3B32E438" w14:textId="77777777" w:rsidR="00767D8E" w:rsidRPr="00767D8E" w:rsidRDefault="00767D8E" w:rsidP="00767D8E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</w:p>
    <w:p w14:paraId="1416A896" w14:textId="77777777" w:rsidR="00767D8E" w:rsidRDefault="00767D8E" w:rsidP="00767D8E">
      <w:pPr>
        <w:spacing w:after="0" w:line="240" w:lineRule="auto"/>
        <w:contextualSpacing/>
        <w:jc w:val="both"/>
        <w:rPr>
          <w:rFonts w:ascii="Aptos Display" w:hAnsi="Aptos Display"/>
          <w:noProof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noProof/>
          <w:color w:val="0F4761" w:themeColor="accent1" w:themeShade="BF"/>
          <w:lang w:val="it-IT" w:eastAsia="it-IT"/>
        </w:rPr>
        <w:t>Approfondimento</w:t>
      </w:r>
    </w:p>
    <w:p w14:paraId="444E3093" w14:textId="77777777" w:rsidR="00767D8E" w:rsidRPr="00D01F7E" w:rsidRDefault="00767D8E" w:rsidP="00767D8E">
      <w:pPr>
        <w:spacing w:after="0" w:line="240" w:lineRule="auto"/>
        <w:contextualSpacing/>
        <w:jc w:val="both"/>
        <w:rPr>
          <w:rFonts w:ascii="Aptos Display" w:hAnsi="Aptos Display"/>
          <w:noProof/>
          <w:lang w:val="it-IT"/>
        </w:rPr>
      </w:pPr>
    </w:p>
    <w:p w14:paraId="6D13FC73" w14:textId="77777777" w:rsidR="004A3E6E" w:rsidRPr="004A3E6E" w:rsidRDefault="004A3E6E" w:rsidP="004A3E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4A3E6E">
        <w:rPr>
          <w:rFonts w:ascii="Aptos Display" w:hAnsi="Aptos Display"/>
          <w:noProof/>
          <w:lang w:val="it-IT"/>
        </w:rPr>
        <w:t>La Commissione Europea ha approvato la riforma denominata VAT in the Digital Age (ViDA), destinata a trasformare profondamente la gestione dell’imposta sul valore aggiunto in tutti gli Stati membri. L’obiettivo è duplice: semplificare gli adempimenti per le imprese che operano a livello transnazionale e ridurre l’evasione fiscale, stimata in decine di miliardi di euro ogni anno.</w:t>
      </w:r>
    </w:p>
    <w:p w14:paraId="32C8BF24" w14:textId="77777777" w:rsidR="004A3E6E" w:rsidRPr="004A3E6E" w:rsidRDefault="004A3E6E" w:rsidP="004A3E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4A3E6E">
        <w:rPr>
          <w:rFonts w:ascii="Aptos Display" w:hAnsi="Aptos Display"/>
          <w:noProof/>
          <w:lang w:val="it-IT"/>
        </w:rPr>
        <w:t>Tra le novità più rilevanti figura l’introduzione della fatturazione elettronica obbligatoria per le transazioni transfrontaliere. Ogni fattura dovrà essere emessa e trasmessa attraverso sistemi digitali riconosciuti, con standard comuni per tutta l’Unione. Questo permetterà di eliminare differenze normative tra i Paesi e di semplificare le operazioni per chi commercia oltre confine.</w:t>
      </w:r>
    </w:p>
    <w:p w14:paraId="5A598931" w14:textId="77777777" w:rsidR="004A3E6E" w:rsidRPr="004A3E6E" w:rsidRDefault="004A3E6E" w:rsidP="004A3E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4A3E6E">
        <w:rPr>
          <w:rFonts w:ascii="Aptos Display" w:hAnsi="Aptos Display"/>
          <w:noProof/>
          <w:lang w:val="it-IT"/>
        </w:rPr>
        <w:t>Un secondo pilastro della riforma è la segnalazione in tempo reale delle operazioni IVA. Le aziende dovranno inviare i dati delle transazioni alle autorità fiscali quasi contestualmente all’emissione della fattura. Ciò consentirà alle amministrazioni di effettuare controlli più tempestivi e di contrastare meglio le frodi carosello.</w:t>
      </w:r>
    </w:p>
    <w:p w14:paraId="37F0F0B9" w14:textId="77777777" w:rsidR="004A3E6E" w:rsidRPr="004A3E6E" w:rsidRDefault="004A3E6E" w:rsidP="004A3E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4A3E6E">
        <w:rPr>
          <w:rFonts w:ascii="Aptos Display" w:hAnsi="Aptos Display"/>
          <w:noProof/>
          <w:lang w:val="it-IT"/>
        </w:rPr>
        <w:t>Altro elemento innovativo è la registrazione unica UE: le imprese che operano in più Stati membri non dovranno più aprire posizioni IVA in ogni Paese, ma potranno gestire tutti gli adempimenti attraverso un solo identificativo valido a livello europeo.</w:t>
      </w:r>
    </w:p>
    <w:p w14:paraId="314FAD78" w14:textId="77777777" w:rsidR="004A3E6E" w:rsidRPr="004A3E6E" w:rsidRDefault="004A3E6E" w:rsidP="004A3E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4A3E6E">
        <w:rPr>
          <w:rFonts w:ascii="Aptos Display" w:hAnsi="Aptos Display"/>
          <w:noProof/>
          <w:lang w:val="it-IT"/>
        </w:rPr>
        <w:t>Per i professionisti e le imprese italiane, l’impatto sarà significativo. Da un lato, ci sarà un aumento degli adempimenti digitali, con la necessità di adeguare software e procedure. Dall’altro, si prospettano benefici in termini di efficienza, riduzione degli errori e minori costi amministrativi nel lungo periodo.</w:t>
      </w:r>
    </w:p>
    <w:p w14:paraId="58BE9A47" w14:textId="77777777" w:rsidR="004A3E6E" w:rsidRPr="004A3E6E" w:rsidRDefault="004A3E6E" w:rsidP="004A3E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4A3E6E">
        <w:rPr>
          <w:rFonts w:ascii="Aptos Display" w:hAnsi="Aptos Display"/>
          <w:noProof/>
          <w:lang w:val="it-IT"/>
        </w:rPr>
        <w:t>Sul piano normativo, l’Italia dovrà coordinare la riforma ViDA con il proprio sistema di fatturazione elettronica già obbligatoria dal 2019, evitando duplicazioni e garantendo compatibilità con gli standard europei. Le imprese e i professionisti saranno quindi chiamati a un nuovo sforzo di adattamento, ma con la prospettiva di un quadro più uniforme e integrato.</w:t>
      </w:r>
    </w:p>
    <w:p w14:paraId="23316CC9" w14:textId="77777777" w:rsidR="004A3E6E" w:rsidRPr="004A3E6E" w:rsidRDefault="004A3E6E" w:rsidP="004A3E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4A3E6E">
        <w:rPr>
          <w:rFonts w:ascii="Aptos Display" w:hAnsi="Aptos Display"/>
          <w:noProof/>
          <w:lang w:val="it-IT"/>
        </w:rPr>
        <w:t>In questo contesto, la formazione diventerà un elemento chiave. Contabili, consulenti e fiscalisti dovranno aggiornare le proprie competenze per supportare le aziende nella transizione, cogliendo l’occasione di offrire servizi a maggior valore aggiunto. La riforma non è quindi solo un obbligo normativo, ma anche un’opportunità di crescita per l’intero ecosistema professionale.</w:t>
      </w:r>
    </w:p>
    <w:p w14:paraId="172F1ECC" w14:textId="66AFE89B" w:rsidR="00171406" w:rsidRPr="004A3E6E" w:rsidRDefault="004A3E6E" w:rsidP="00767D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noProof/>
          <w:lang w:val="it-IT"/>
        </w:rPr>
      </w:pPr>
      <w:r w:rsidRPr="004A3E6E">
        <w:rPr>
          <w:rFonts w:ascii="Aptos Display" w:hAnsi="Aptos Display"/>
          <w:noProof/>
          <w:lang w:val="it-IT"/>
        </w:rPr>
        <w:t>La riforma ViDA rappresenta un passo verso un’Unione Europea più coesa anche in ambito fiscale. Un cambiamento che, se attuato con efficacia, potrà ridurre l’evasione e semplificare la vita delle imprese, rendendo più competitivo il mercato unico.</w:t>
      </w:r>
    </w:p>
    <w:sectPr w:rsidR="00171406" w:rsidRPr="004A3E6E" w:rsidSect="00767D8E">
      <w:headerReference w:type="default" r:id="rId4"/>
      <w:pgSz w:w="12240" w:h="15840"/>
      <w:pgMar w:top="141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353DA" w14:textId="77777777" w:rsidR="00767D8E" w:rsidRDefault="00767D8E" w:rsidP="00D01F7E">
    <w:pPr>
      <w:rPr>
        <w:rFonts w:ascii="Aptos Display" w:hAnsi="Aptos Display"/>
        <w:lang w:val="it-IT"/>
      </w:rPr>
    </w:pPr>
  </w:p>
  <w:p w14:paraId="1654BB2C" w14:textId="77777777" w:rsidR="00767D8E" w:rsidRPr="00D01F7E" w:rsidRDefault="00767D8E" w:rsidP="00D01F7E">
    <w:pPr>
      <w:ind w:firstLine="720"/>
      <w:jc w:val="center"/>
      <w:rPr>
        <w:rFonts w:ascii="Aptos Display" w:hAnsi="Aptos Display"/>
        <w:b/>
        <w:bCs/>
        <w:lang w:val="it-IT"/>
      </w:rPr>
    </w:pPr>
    <w:r w:rsidRPr="00D01F7E">
      <w:rPr>
        <w:rFonts w:ascii="Aptos Display" w:hAnsi="Aptos Display"/>
        <w:b/>
        <w:bCs/>
        <w:lang w:val="it-IT"/>
      </w:rPr>
      <w:t>MODULO COMPILAZIONE NOTIZIE RATIO QUOTIDIANO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8E"/>
    <w:rsid w:val="00171406"/>
    <w:rsid w:val="004A3E6E"/>
    <w:rsid w:val="005F2644"/>
    <w:rsid w:val="00767D8E"/>
    <w:rsid w:val="00AB582C"/>
    <w:rsid w:val="00BB4E98"/>
    <w:rsid w:val="00E4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55295"/>
  <w15:chartTrackingRefBased/>
  <w15:docId w15:val="{026AC327-4130-4209-B652-E0AABB64E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67D8E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67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67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67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67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67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67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67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67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67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67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67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67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67D8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67D8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67D8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67D8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67D8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67D8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67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67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67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67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67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67D8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67D8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67D8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67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67D8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67D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D4F4C5-C923-4138-B069-9D959D7A92AA}"/>
</file>

<file path=customXml/itemProps2.xml><?xml version="1.0" encoding="utf-8"?>
<ds:datastoreItem xmlns:ds="http://schemas.openxmlformats.org/officeDocument/2006/customXml" ds:itemID="{3C2EB8FE-3785-4384-8A01-6B45A3168C24}"/>
</file>

<file path=customXml/itemProps3.xml><?xml version="1.0" encoding="utf-8"?>
<ds:datastoreItem xmlns:ds="http://schemas.openxmlformats.org/officeDocument/2006/customXml" ds:itemID="{66163AB9-2CDB-4D94-9685-AD91614E72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Pastore</cp:lastModifiedBy>
  <cp:revision>1</cp:revision>
  <dcterms:created xsi:type="dcterms:W3CDTF">2025-09-26T15:16:00Z</dcterms:created>
  <dcterms:modified xsi:type="dcterms:W3CDTF">2025-09-26T15:31:00Z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