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B2EA" w14:textId="0FA43FEC" w:rsidR="00CB688C" w:rsidRPr="00C74ADB" w:rsidRDefault="00523D74" w:rsidP="00767F01">
      <w:pPr>
        <w:pBdr>
          <w:bottom w:val="single" w:sz="4" w:space="1" w:color="auto"/>
        </w:pBdr>
        <w:jc w:val="both"/>
        <w:rPr>
          <w:b/>
          <w:bCs/>
        </w:rPr>
      </w:pPr>
      <w:r w:rsidRPr="00C74ADB">
        <w:rPr>
          <w:b/>
          <w:bCs/>
        </w:rPr>
        <w:t>Assegnazione dei beni ai soci</w:t>
      </w:r>
      <w:r w:rsidR="00C41AFE">
        <w:rPr>
          <w:b/>
          <w:bCs/>
        </w:rPr>
        <w:t xml:space="preserve"> (Parte I): le verifiche preliminari e la comprensione dell’agevolazione </w:t>
      </w:r>
    </w:p>
    <w:p w14:paraId="2071665D" w14:textId="2D4A87AB" w:rsidR="00F74638" w:rsidRPr="00C74ADB" w:rsidRDefault="00F74638" w:rsidP="00837D07">
      <w:pPr>
        <w:jc w:val="both"/>
        <w:rPr>
          <w:b/>
          <w:bCs/>
        </w:rPr>
      </w:pPr>
      <w:r w:rsidRPr="00C74ADB">
        <w:rPr>
          <w:b/>
          <w:bCs/>
        </w:rPr>
        <w:t>Abstract</w:t>
      </w:r>
    </w:p>
    <w:p w14:paraId="78D58B20" w14:textId="2371DDD5" w:rsidR="00F74638" w:rsidRPr="005A1413" w:rsidRDefault="00F74638" w:rsidP="00837D07">
      <w:pPr>
        <w:jc w:val="both"/>
        <w:rPr>
          <w:i/>
          <w:iCs/>
        </w:rPr>
      </w:pPr>
      <w:r w:rsidRPr="005A1413">
        <w:rPr>
          <w:i/>
          <w:iCs/>
        </w:rPr>
        <w:t xml:space="preserve">L'assegnazione agevolata dei beni ai soci, una misura fiscale particolarmente apprezzata </w:t>
      </w:r>
      <w:r w:rsidR="00806025">
        <w:rPr>
          <w:i/>
          <w:iCs/>
        </w:rPr>
        <w:t>fin dalla sua ideazione</w:t>
      </w:r>
      <w:r w:rsidRPr="005A1413">
        <w:rPr>
          <w:i/>
          <w:iCs/>
        </w:rPr>
        <w:t>, è stata riproposta per il 2025 mantenendo le stesse caratteristiche fondamentali già osservate nelle edizioni precedenti. Questa normativa consente di attribuire beni ai soci con un trattamento fiscale vantaggioso, favorendo la razionalizzazione del patrimonio societario e l'ottimizzazione dei costi fiscali. Grazie alle agevolazioni previste, le imprese possono beneficiare di una significativa riduzione dell'imposizione tributaria, rendendo l'assegnazione un'opzione strategica per molte realtà aziendali. Nell'articolo verranno esaminati in dettaglio i principali aspetti dell'assegnazione agevolata, dai requisiti preliminari alle modalità di calcolo della tassazione, con esempi pratici e analisi della convenienza economica.</w:t>
      </w:r>
    </w:p>
    <w:p w14:paraId="62CDB72F" w14:textId="55D69683" w:rsidR="00F74638" w:rsidRPr="00C74ADB" w:rsidRDefault="00F14307" w:rsidP="00837D07">
      <w:pPr>
        <w:jc w:val="both"/>
        <w:rPr>
          <w:b/>
          <w:bCs/>
        </w:rPr>
      </w:pPr>
      <w:r w:rsidRPr="00C74ADB">
        <w:rPr>
          <w:b/>
          <w:bCs/>
        </w:rPr>
        <w:t>Introduzione</w:t>
      </w:r>
    </w:p>
    <w:p w14:paraId="5CBB8141" w14:textId="22469DF8" w:rsidR="00F14307" w:rsidRDefault="00F14307" w:rsidP="00837D07">
      <w:pPr>
        <w:jc w:val="both"/>
      </w:pPr>
      <w:r>
        <w:t>L’assegnazione agevolata dei beni ai soci rappresenta un'opportunità fiscale di grande rilevanza per le società che intendono ottimizzare la gestione del proprio patrimonio</w:t>
      </w:r>
      <w:r w:rsidR="006223DF">
        <w:t xml:space="preserve"> immobiliare</w:t>
      </w:r>
      <w:r>
        <w:t>. Introdotta per favorire la ridistribuzione di beni immobili e mobili registrati ai soci, questa misura consente di ottenere benefici fiscali rilevanti grazie all'applicazione di imposte sostitutive ridotte e agevolazioni legate al valore catastale dei beni assegnati.</w:t>
      </w:r>
    </w:p>
    <w:p w14:paraId="205A7042" w14:textId="77777777" w:rsidR="00F14307" w:rsidRDefault="00F14307" w:rsidP="00837D07">
      <w:pPr>
        <w:jc w:val="both"/>
      </w:pPr>
      <w:r>
        <w:t>Riproposta per il 2025, l’agevolazione conserva il funzionamento già visto negli anni precedenti, con alcune modifiche alle tempistiche e agli adempimenti necessari. Le società potranno usufruire del regime agevolato per trasferire beni ai soci riducendo l’impatto della tassazione, un aspetto che rende questa misura particolarmente utile nelle operazioni di razionalizzazione patrimoniale o liquidazione.</w:t>
      </w:r>
    </w:p>
    <w:p w14:paraId="7575A493" w14:textId="123D6BF7" w:rsidR="00551AB2" w:rsidRDefault="00F14307" w:rsidP="00837D07">
      <w:pPr>
        <w:jc w:val="both"/>
      </w:pPr>
      <w:r>
        <w:t xml:space="preserve">L’obiettivo di questo articolo è guidare i professionisti e gli imprenditori </w:t>
      </w:r>
      <w:r w:rsidR="00806025">
        <w:t>nel</w:t>
      </w:r>
      <w:r>
        <w:t xml:space="preserve">le principali fasi dell’assegnazione agevolata, partendo dall’analisi dei dati della società e dei soci, fino alla valutazione della convenienza economica. </w:t>
      </w:r>
    </w:p>
    <w:p w14:paraId="2396A2A6" w14:textId="79EB4907" w:rsidR="00CE1E0C" w:rsidRDefault="00551AB2" w:rsidP="00CE1E0C">
      <w:pPr>
        <w:jc w:val="both"/>
      </w:pPr>
      <w:r>
        <w:t xml:space="preserve">Per chiarire meglio i diversi passaggi, utilizzeremo il tool </w:t>
      </w:r>
      <w:r w:rsidRPr="00551AB2">
        <w:rPr>
          <w:b/>
          <w:bCs/>
          <w:i/>
          <w:iCs/>
        </w:rPr>
        <w:t>Assegnazionebeniaisoci2025_24</w:t>
      </w:r>
      <w:r>
        <w:rPr>
          <w:b/>
          <w:bCs/>
          <w:i/>
          <w:iCs/>
        </w:rPr>
        <w:t xml:space="preserve"> </w:t>
      </w:r>
      <w:r w:rsidR="00CE1E0C">
        <w:t>che consente una gestione completa da un punto di vista fiscale e societario</w:t>
      </w:r>
      <w:r w:rsidR="00806025">
        <w:t xml:space="preserve"> dell’operazione.</w:t>
      </w:r>
    </w:p>
    <w:p w14:paraId="1F64FD99" w14:textId="0239F975" w:rsidR="008E0961" w:rsidRDefault="0004702A" w:rsidP="008E0961">
      <w:pPr>
        <w:jc w:val="both"/>
        <w:rPr>
          <w:b/>
          <w:bCs/>
        </w:rPr>
      </w:pPr>
      <w:r>
        <w:rPr>
          <w:b/>
          <w:bCs/>
        </w:rPr>
        <w:t>Le variabili coinvolte</w:t>
      </w:r>
    </w:p>
    <w:p w14:paraId="682B1A85" w14:textId="77777777" w:rsidR="002F67BA" w:rsidRDefault="00A77826" w:rsidP="002F67BA">
      <w:pPr>
        <w:keepNext/>
        <w:jc w:val="both"/>
      </w:pPr>
      <w:r>
        <w:rPr>
          <w:b/>
          <w:bCs/>
          <w:noProof/>
        </w:rPr>
        <w:drawing>
          <wp:inline distT="0" distB="0" distL="0" distR="0" wp14:anchorId="6A76C674" wp14:editId="042A82F7">
            <wp:extent cx="4616731" cy="2182633"/>
            <wp:effectExtent l="19050" t="19050" r="12700" b="27305"/>
            <wp:docPr id="1339235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57468" cy="2201892"/>
                    </a:xfrm>
                    <a:prstGeom prst="rect">
                      <a:avLst/>
                    </a:prstGeom>
                    <a:noFill/>
                    <a:ln>
                      <a:solidFill>
                        <a:schemeClr val="tx1"/>
                      </a:solidFill>
                    </a:ln>
                  </pic:spPr>
                </pic:pic>
              </a:graphicData>
            </a:graphic>
          </wp:inline>
        </w:drawing>
      </w:r>
    </w:p>
    <w:p w14:paraId="13E2ED08" w14:textId="5F34372D" w:rsidR="008E0961" w:rsidRPr="00C74ADB" w:rsidRDefault="002F67BA" w:rsidP="002F67BA">
      <w:pPr>
        <w:pStyle w:val="Didascalia"/>
        <w:jc w:val="both"/>
        <w:rPr>
          <w:b/>
          <w:bCs/>
        </w:rPr>
      </w:pPr>
      <w:r>
        <w:t xml:space="preserve">Figura </w:t>
      </w:r>
      <w:fldSimple w:instr=" SEQ Figura \* ARABIC ">
        <w:r w:rsidR="003627D1">
          <w:rPr>
            <w:noProof/>
          </w:rPr>
          <w:t>1</w:t>
        </w:r>
      </w:fldSimple>
      <w:r>
        <w:t>: Le verifiche preliminari</w:t>
      </w:r>
    </w:p>
    <w:p w14:paraId="3825A35E" w14:textId="086CBD38" w:rsidR="004313CA" w:rsidRPr="007E5D89" w:rsidRDefault="004313CA" w:rsidP="004313CA">
      <w:pPr>
        <w:jc w:val="both"/>
      </w:pPr>
      <w:r w:rsidRPr="007E5D89">
        <w:t xml:space="preserve">Per valutare se l'assegnazione risulta fiscalmente conveniente rispetto ad altre soluzioni ordinarie, occorre seguire </w:t>
      </w:r>
      <w:r w:rsidR="00EC746A">
        <w:t xml:space="preserve">il </w:t>
      </w:r>
      <w:r w:rsidRPr="007E5D89">
        <w:t>percorso logico rappresentato dalla figura:</w:t>
      </w:r>
    </w:p>
    <w:p w14:paraId="7EB07037" w14:textId="4022CC3F" w:rsidR="004313CA" w:rsidRDefault="0019234B" w:rsidP="004313CA">
      <w:pPr>
        <w:jc w:val="both"/>
      </w:pPr>
      <w:r w:rsidRPr="0049733D">
        <w:rPr>
          <w:b/>
          <w:bCs/>
        </w:rPr>
        <w:lastRenderedPageBreak/>
        <w:t>V</w:t>
      </w:r>
      <w:r w:rsidR="004313CA" w:rsidRPr="0049733D">
        <w:rPr>
          <w:b/>
          <w:bCs/>
        </w:rPr>
        <w:t>alorizzazione del bene</w:t>
      </w:r>
      <w:r w:rsidR="004313CA" w:rsidRPr="007E5D89">
        <w:t>:</w:t>
      </w:r>
      <w:r w:rsidR="00EC746A">
        <w:t xml:space="preserve"> </w:t>
      </w:r>
      <w:r w:rsidR="00806025">
        <w:t>s</w:t>
      </w:r>
      <w:r w:rsidR="004313CA" w:rsidRPr="007E5D89">
        <w:t xml:space="preserve">i parte determinando il valore normale del bene (tipicamente il valore di mercato) e </w:t>
      </w:r>
      <w:r w:rsidR="00D632EA">
        <w:t xml:space="preserve">lo si confronta </w:t>
      </w:r>
      <w:r w:rsidR="004313CA" w:rsidRPr="007E5D89">
        <w:t>con il valore contabile netto iscritto a bilancio</w:t>
      </w:r>
      <w:r w:rsidR="00D632EA">
        <w:t xml:space="preserve"> non prima di aver verificato </w:t>
      </w:r>
      <w:r w:rsidR="006702C3">
        <w:t>che non si tratti di un’immobile strumentale per destinazione.</w:t>
      </w:r>
    </w:p>
    <w:p w14:paraId="02F40411" w14:textId="77777777" w:rsidR="006702C3" w:rsidRDefault="00FA205F" w:rsidP="006702C3">
      <w:pPr>
        <w:keepNext/>
        <w:jc w:val="both"/>
      </w:pPr>
      <w:r>
        <w:rPr>
          <w:noProof/>
        </w:rPr>
        <w:drawing>
          <wp:inline distT="0" distB="0" distL="0" distR="0" wp14:anchorId="3FC2A43C" wp14:editId="473B4FAA">
            <wp:extent cx="6120130" cy="2164080"/>
            <wp:effectExtent l="0" t="0" r="0" b="7620"/>
            <wp:docPr id="1642568970"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68970" name="Immagine 1" descr="Immagine che contiene testo, schermata, Carattere, numero&#10;&#10;Il contenuto generato dall'IA potrebbe non essere corretto."/>
                    <pic:cNvPicPr/>
                  </pic:nvPicPr>
                  <pic:blipFill>
                    <a:blip r:embed="rId9"/>
                    <a:stretch>
                      <a:fillRect/>
                    </a:stretch>
                  </pic:blipFill>
                  <pic:spPr>
                    <a:xfrm>
                      <a:off x="0" y="0"/>
                      <a:ext cx="6120130" cy="2164080"/>
                    </a:xfrm>
                    <a:prstGeom prst="rect">
                      <a:avLst/>
                    </a:prstGeom>
                  </pic:spPr>
                </pic:pic>
              </a:graphicData>
            </a:graphic>
          </wp:inline>
        </w:drawing>
      </w:r>
    </w:p>
    <w:p w14:paraId="024C66C6" w14:textId="186916E2" w:rsidR="00424BF0" w:rsidRPr="007E5D89" w:rsidRDefault="006702C3" w:rsidP="006702C3">
      <w:pPr>
        <w:pStyle w:val="Didascalia"/>
        <w:jc w:val="both"/>
      </w:pPr>
      <w:r>
        <w:t xml:space="preserve">Figura </w:t>
      </w:r>
      <w:fldSimple w:instr=" SEQ Figura \* ARABIC ">
        <w:r w:rsidR="003627D1">
          <w:rPr>
            <w:noProof/>
          </w:rPr>
          <w:t>2</w:t>
        </w:r>
      </w:fldSimple>
      <w:r>
        <w:t>: Le tipologie agevolabili</w:t>
      </w:r>
    </w:p>
    <w:p w14:paraId="473DD385" w14:textId="32BBAE2D" w:rsidR="004313CA" w:rsidRDefault="004313CA" w:rsidP="004313CA">
      <w:pPr>
        <w:jc w:val="both"/>
      </w:pPr>
      <w:r w:rsidRPr="0049733D">
        <w:rPr>
          <w:b/>
          <w:bCs/>
        </w:rPr>
        <w:t>Calcolo della plusvalenza latente</w:t>
      </w:r>
      <w:r w:rsidRPr="007E5D89">
        <w:t>:</w:t>
      </w:r>
      <w:r w:rsidR="00EC746A">
        <w:t xml:space="preserve"> </w:t>
      </w:r>
      <w:r w:rsidR="00806025">
        <w:t>d</w:t>
      </w:r>
      <w:r w:rsidRPr="007E5D89">
        <w:t>alla differenza tra il valore normale e il valore contabile emerge una plusvalenza latente, che rappresenta la base imponibile dell'operazione.</w:t>
      </w:r>
    </w:p>
    <w:p w14:paraId="70DFA8FE" w14:textId="77777777" w:rsidR="003627D1" w:rsidRDefault="003627D1" w:rsidP="003627D1">
      <w:pPr>
        <w:keepNext/>
        <w:jc w:val="both"/>
      </w:pPr>
      <w:r w:rsidRPr="003627D1">
        <w:drawing>
          <wp:inline distT="0" distB="0" distL="0" distR="0" wp14:anchorId="253F7E92" wp14:editId="77452B37">
            <wp:extent cx="6120130" cy="554355"/>
            <wp:effectExtent l="0" t="0" r="0" b="0"/>
            <wp:docPr id="175628595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554355"/>
                    </a:xfrm>
                    <a:prstGeom prst="rect">
                      <a:avLst/>
                    </a:prstGeom>
                    <a:noFill/>
                    <a:ln>
                      <a:noFill/>
                    </a:ln>
                  </pic:spPr>
                </pic:pic>
              </a:graphicData>
            </a:graphic>
          </wp:inline>
        </w:drawing>
      </w:r>
    </w:p>
    <w:p w14:paraId="05F750B8" w14:textId="7D8AFF59" w:rsidR="006A4606" w:rsidRPr="007E5D89" w:rsidRDefault="003627D1" w:rsidP="003627D1">
      <w:pPr>
        <w:pStyle w:val="Didascalia"/>
        <w:jc w:val="both"/>
      </w:pPr>
      <w:r>
        <w:t xml:space="preserve">Figura </w:t>
      </w:r>
      <w:fldSimple w:instr=" SEQ Figura \* ARABIC ">
        <w:r>
          <w:rPr>
            <w:noProof/>
          </w:rPr>
          <w:t>3</w:t>
        </w:r>
      </w:fldSimple>
      <w:r>
        <w:t>: Il calcolo dell'imposta sostitutiva</w:t>
      </w:r>
    </w:p>
    <w:p w14:paraId="65D59DAA" w14:textId="2D1C8C71" w:rsidR="00C55116" w:rsidRDefault="004313CA" w:rsidP="004313CA">
      <w:pPr>
        <w:jc w:val="both"/>
      </w:pPr>
      <w:r w:rsidRPr="0049733D">
        <w:rPr>
          <w:b/>
          <w:bCs/>
        </w:rPr>
        <w:t>Confronto tra tassazione ordinaria e agevolata</w:t>
      </w:r>
      <w:r w:rsidRPr="007E5D89">
        <w:t>:</w:t>
      </w:r>
      <w:r w:rsidR="00C55116">
        <w:t xml:space="preserve"> occorre confrontare la t</w:t>
      </w:r>
      <w:r w:rsidRPr="007E5D89">
        <w:t>assazione ordinaria</w:t>
      </w:r>
      <w:r w:rsidR="008D073A">
        <w:t xml:space="preserve"> cui sarebbe asso</w:t>
      </w:r>
      <w:r w:rsidR="00A034CD">
        <w:t xml:space="preserve">ggettata </w:t>
      </w:r>
      <w:r w:rsidRPr="007E5D89">
        <w:t xml:space="preserve">la plusvalenza </w:t>
      </w:r>
      <w:r w:rsidR="00C55116">
        <w:t>e la t</w:t>
      </w:r>
      <w:r w:rsidRPr="007E5D89">
        <w:t>assazione agevolata: usufruendo dell'assegnazione agevolata</w:t>
      </w:r>
      <w:r w:rsidR="00A034CD">
        <w:t>;</w:t>
      </w:r>
      <w:r w:rsidRPr="007E5D89">
        <w:t xml:space="preserve"> la plusvalenza viene assoggettata a una imposta sostitutiva ridotta </w:t>
      </w:r>
      <w:r w:rsidR="00C55116">
        <w:t xml:space="preserve">in molti casi </w:t>
      </w:r>
      <w:r w:rsidRPr="007E5D89">
        <w:t>più conveniente rispetto alla tassazione ordinaria.</w:t>
      </w:r>
      <w:r w:rsidR="00C55116">
        <w:t xml:space="preserve"> Nella valutazione di convenienza devono tuttavia essere considerate anche </w:t>
      </w:r>
      <w:r w:rsidR="005F215D">
        <w:t xml:space="preserve">l’eventuale tassazione dei soci </w:t>
      </w:r>
      <w:r w:rsidR="009164C0">
        <w:t>in caso di utilizzo di utili</w:t>
      </w:r>
      <w:r w:rsidR="007B75C0">
        <w:t>,</w:t>
      </w:r>
      <w:r w:rsidR="009164C0">
        <w:t xml:space="preserve"> che varranno come dividendi.</w:t>
      </w:r>
    </w:p>
    <w:p w14:paraId="68BA9CC0" w14:textId="77777777" w:rsidR="006702C3" w:rsidRPr="00022E8F" w:rsidRDefault="006702C3" w:rsidP="006702C3">
      <w:pPr>
        <w:jc w:val="both"/>
        <w:rPr>
          <w:b/>
          <w:bCs/>
        </w:rPr>
      </w:pPr>
      <w:r>
        <w:rPr>
          <w:b/>
          <w:bCs/>
        </w:rPr>
        <w:t>La tassazione in capo alla società</w:t>
      </w:r>
    </w:p>
    <w:p w14:paraId="16792589" w14:textId="2B633165" w:rsidR="009034CE" w:rsidRDefault="006702C3" w:rsidP="004313CA">
      <w:pPr>
        <w:jc w:val="both"/>
      </w:pPr>
      <w:r>
        <w:t>Per comprendere gli effetti fiscali in capo alla società e ai soci o</w:t>
      </w:r>
      <w:r w:rsidR="009034CE">
        <w:t>ccorrerà determinare le seguenti variabili:</w:t>
      </w:r>
    </w:p>
    <w:p w14:paraId="598F7389" w14:textId="77777777" w:rsidR="00022E8F" w:rsidRPr="00022E8F" w:rsidRDefault="00022E8F" w:rsidP="00022E8F">
      <w:pPr>
        <w:numPr>
          <w:ilvl w:val="0"/>
          <w:numId w:val="1"/>
        </w:numPr>
        <w:jc w:val="both"/>
      </w:pPr>
      <w:r w:rsidRPr="00022E8F">
        <w:t>Valore di Mercato (VM)</w:t>
      </w:r>
    </w:p>
    <w:p w14:paraId="6F502AB4" w14:textId="77777777" w:rsidR="00022E8F" w:rsidRPr="00022E8F" w:rsidRDefault="00022E8F" w:rsidP="00022E8F">
      <w:pPr>
        <w:numPr>
          <w:ilvl w:val="0"/>
          <w:numId w:val="1"/>
        </w:numPr>
        <w:jc w:val="both"/>
      </w:pPr>
      <w:r w:rsidRPr="00022E8F">
        <w:t xml:space="preserve">Valore fiscale (VF) </w:t>
      </w:r>
    </w:p>
    <w:p w14:paraId="718336B8" w14:textId="77777777" w:rsidR="00022E8F" w:rsidRPr="00022E8F" w:rsidRDefault="00022E8F" w:rsidP="00022E8F">
      <w:pPr>
        <w:numPr>
          <w:ilvl w:val="0"/>
          <w:numId w:val="1"/>
        </w:numPr>
        <w:jc w:val="both"/>
      </w:pPr>
      <w:r w:rsidRPr="00022E8F">
        <w:t>Valore Catastale (VC)</w:t>
      </w:r>
    </w:p>
    <w:p w14:paraId="51D73072" w14:textId="77777777" w:rsidR="00022E8F" w:rsidRPr="00022E8F" w:rsidRDefault="00022E8F" w:rsidP="00022E8F">
      <w:pPr>
        <w:numPr>
          <w:ilvl w:val="0"/>
          <w:numId w:val="1"/>
        </w:numPr>
        <w:jc w:val="both"/>
      </w:pPr>
      <w:r w:rsidRPr="00022E8F">
        <w:t xml:space="preserve">Valore Assegnazione (VA) </w:t>
      </w:r>
      <w:r w:rsidRPr="00022E8F">
        <w:rPr>
          <w:i/>
          <w:iCs/>
        </w:rPr>
        <w:t>tale che VA&gt;=VC</w:t>
      </w:r>
    </w:p>
    <w:p w14:paraId="476A6C24" w14:textId="77777777" w:rsidR="00022E8F" w:rsidRPr="00022E8F" w:rsidRDefault="00022E8F" w:rsidP="00022E8F">
      <w:pPr>
        <w:numPr>
          <w:ilvl w:val="0"/>
          <w:numId w:val="1"/>
        </w:numPr>
        <w:jc w:val="both"/>
      </w:pPr>
      <w:r w:rsidRPr="00022E8F">
        <w:t>Quota di riserve di capitale utilizzate sul valore fiscale (%</w:t>
      </w:r>
      <w:proofErr w:type="spellStart"/>
      <w:r w:rsidRPr="00022E8F">
        <w:t>Ris</w:t>
      </w:r>
      <w:proofErr w:type="spellEnd"/>
      <w:r w:rsidRPr="00022E8F">
        <w:t xml:space="preserve">) </w:t>
      </w:r>
    </w:p>
    <w:p w14:paraId="58C37C0A" w14:textId="77777777" w:rsidR="00022E8F" w:rsidRPr="00022E8F" w:rsidRDefault="00022E8F" w:rsidP="00022E8F">
      <w:pPr>
        <w:numPr>
          <w:ilvl w:val="0"/>
          <w:numId w:val="1"/>
        </w:numPr>
        <w:jc w:val="both"/>
      </w:pPr>
      <w:r w:rsidRPr="00022E8F">
        <w:t>Valore della partecipazione ante assegnazione (VP)</w:t>
      </w:r>
    </w:p>
    <w:p w14:paraId="095836F3" w14:textId="2E3C0098" w:rsidR="00022E8F" w:rsidRDefault="00C73A5C" w:rsidP="00837D07">
      <w:pPr>
        <w:jc w:val="both"/>
      </w:pPr>
      <w:r w:rsidRPr="007E5D89">
        <w:t>L’analisi dei dati della società è il primo passo per valutare</w:t>
      </w:r>
      <w:r w:rsidR="00022E8F">
        <w:t xml:space="preserve"> il tipo di operazione esperibile e </w:t>
      </w:r>
      <w:r w:rsidR="00A262D0">
        <w:t>avere le prime indicazioni sul costo.</w:t>
      </w:r>
      <w:r w:rsidR="00267C18">
        <w:t xml:space="preserve"> Il passaggio dei beni ai soci può avvenire attraverso tre distinti atti:</w:t>
      </w:r>
    </w:p>
    <w:p w14:paraId="5511C706" w14:textId="357BD7BF" w:rsidR="00267C18" w:rsidRDefault="00267C18" w:rsidP="00267C18">
      <w:pPr>
        <w:pStyle w:val="Paragrafoelenco"/>
        <w:numPr>
          <w:ilvl w:val="0"/>
          <w:numId w:val="2"/>
        </w:numPr>
        <w:jc w:val="both"/>
      </w:pPr>
      <w:r>
        <w:t>L’assegnazione con riduzione del capitale</w:t>
      </w:r>
    </w:p>
    <w:p w14:paraId="1720378C" w14:textId="3C66169F" w:rsidR="00267C18" w:rsidRDefault="00267C18" w:rsidP="00267C18">
      <w:pPr>
        <w:pStyle w:val="Paragrafoelenco"/>
        <w:numPr>
          <w:ilvl w:val="0"/>
          <w:numId w:val="2"/>
        </w:numPr>
        <w:jc w:val="both"/>
      </w:pPr>
      <w:r>
        <w:lastRenderedPageBreak/>
        <w:t xml:space="preserve">La cessione mediante </w:t>
      </w:r>
      <w:r w:rsidR="00261F2C">
        <w:t>compravendita</w:t>
      </w:r>
    </w:p>
    <w:p w14:paraId="1E983876" w14:textId="4DAC83BA" w:rsidR="00261F2C" w:rsidRDefault="00261F2C" w:rsidP="00267C18">
      <w:pPr>
        <w:pStyle w:val="Paragrafoelenco"/>
        <w:numPr>
          <w:ilvl w:val="0"/>
          <w:numId w:val="2"/>
        </w:numPr>
        <w:jc w:val="both"/>
      </w:pPr>
      <w:r>
        <w:t xml:space="preserve">La trasformazione in società semplice </w:t>
      </w:r>
      <w:r w:rsidR="00FE3742">
        <w:t xml:space="preserve">ma </w:t>
      </w:r>
      <w:r>
        <w:t xml:space="preserve">solo nel caso </w:t>
      </w:r>
      <w:r w:rsidR="00DA6834">
        <w:t>si tratti di società con attività immobiliare prevalente.</w:t>
      </w:r>
    </w:p>
    <w:p w14:paraId="4523DC49" w14:textId="379DA7A9" w:rsidR="00DA6834" w:rsidRDefault="001D283B" w:rsidP="00AF7E1E">
      <w:pPr>
        <w:jc w:val="both"/>
      </w:pPr>
      <w:r w:rsidRPr="001D283B">
        <w:t xml:space="preserve">Per la tassazione, </w:t>
      </w:r>
      <w:r w:rsidR="00AF7E1E">
        <w:t xml:space="preserve">occorre </w:t>
      </w:r>
      <w:r w:rsidRPr="001D283B">
        <w:t>confrontare l'imposizione ordinaria (aliquote per società di capitali o marginali per soci di società di persone) con l'imposta sostitutiva dell'8%, che può aumentare al 10,50% se la società è considerata di comodo in almeno due degli ultimi tre esercizi.</w:t>
      </w:r>
    </w:p>
    <w:p w14:paraId="10E8D82D" w14:textId="2A9B5668" w:rsidR="00AC18BB" w:rsidRDefault="000B6C9F" w:rsidP="00AC18BB">
      <w:pPr>
        <w:keepNext/>
        <w:jc w:val="both"/>
      </w:pPr>
      <w:r>
        <w:rPr>
          <w:noProof/>
        </w:rPr>
        <w:drawing>
          <wp:inline distT="0" distB="0" distL="0" distR="0" wp14:anchorId="244EAAB4" wp14:editId="649E914F">
            <wp:extent cx="6120130" cy="1318895"/>
            <wp:effectExtent l="19050" t="19050" r="13970" b="14605"/>
            <wp:docPr id="929287165"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87165" name="Immagine 1" descr="Immagine che contiene testo, schermata, Carattere, linea&#10;&#10;Il contenuto generato dall'IA potrebbe non essere corretto."/>
                    <pic:cNvPicPr/>
                  </pic:nvPicPr>
                  <pic:blipFill>
                    <a:blip r:embed="rId11"/>
                    <a:stretch>
                      <a:fillRect/>
                    </a:stretch>
                  </pic:blipFill>
                  <pic:spPr>
                    <a:xfrm>
                      <a:off x="0" y="0"/>
                      <a:ext cx="6120130" cy="1318895"/>
                    </a:xfrm>
                    <a:prstGeom prst="rect">
                      <a:avLst/>
                    </a:prstGeom>
                    <a:ln>
                      <a:solidFill>
                        <a:schemeClr val="tx1"/>
                      </a:solidFill>
                    </a:ln>
                  </pic:spPr>
                </pic:pic>
              </a:graphicData>
            </a:graphic>
          </wp:inline>
        </w:drawing>
      </w:r>
    </w:p>
    <w:p w14:paraId="50B1245C" w14:textId="618C4448" w:rsidR="00C74ADB" w:rsidRDefault="00AC18BB" w:rsidP="00AC18BB">
      <w:pPr>
        <w:pStyle w:val="Didascalia"/>
        <w:jc w:val="both"/>
      </w:pPr>
      <w:r>
        <w:t xml:space="preserve">Figura </w:t>
      </w:r>
      <w:fldSimple w:instr=" SEQ Figura \* ARABIC ">
        <w:r w:rsidR="003627D1">
          <w:rPr>
            <w:noProof/>
          </w:rPr>
          <w:t>4</w:t>
        </w:r>
      </w:fldSimple>
      <w:r>
        <w:t xml:space="preserve">: </w:t>
      </w:r>
      <w:r w:rsidR="004B48C3">
        <w:t>Caso della Società Per Azioni immobiliare di comodo</w:t>
      </w:r>
    </w:p>
    <w:p w14:paraId="6C68C6A6" w14:textId="67CC43DC" w:rsidR="007D21B1" w:rsidRDefault="001607C1" w:rsidP="002E4746">
      <w:pPr>
        <w:jc w:val="both"/>
      </w:pPr>
      <w:r>
        <w:t>Detta aliquota andrà applicata all</w:t>
      </w:r>
      <w:r w:rsidR="0058602B">
        <w:t>’imponibile dell’imposta sostitutiva (IIS) pari alla</w:t>
      </w:r>
      <w:r>
        <w:t xml:space="preserve"> differenza tra il valore di assegnazione </w:t>
      </w:r>
      <w:r w:rsidR="00666B5B">
        <w:t>(VA) e il valore fiscale (VF)</w:t>
      </w:r>
      <w:r w:rsidR="0058602B">
        <w:t>.</w:t>
      </w:r>
    </w:p>
    <w:p w14:paraId="5CDC4EC3" w14:textId="77777777" w:rsidR="00CA5949" w:rsidRDefault="001159C2" w:rsidP="00CA5949">
      <w:pPr>
        <w:keepNext/>
        <w:jc w:val="both"/>
      </w:pPr>
      <w:r>
        <w:rPr>
          <w:noProof/>
        </w:rPr>
        <w:drawing>
          <wp:inline distT="0" distB="0" distL="0" distR="0" wp14:anchorId="76A80829" wp14:editId="48C09F69">
            <wp:extent cx="6188246" cy="3252874"/>
            <wp:effectExtent l="19050" t="19050" r="22225" b="24130"/>
            <wp:docPr id="92949318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8878" cy="3263719"/>
                    </a:xfrm>
                    <a:prstGeom prst="rect">
                      <a:avLst/>
                    </a:prstGeom>
                    <a:noFill/>
                    <a:ln>
                      <a:solidFill>
                        <a:schemeClr val="tx1"/>
                      </a:solidFill>
                    </a:ln>
                  </pic:spPr>
                </pic:pic>
              </a:graphicData>
            </a:graphic>
          </wp:inline>
        </w:drawing>
      </w:r>
    </w:p>
    <w:p w14:paraId="62EE437A" w14:textId="33EFAE09" w:rsidR="00444990" w:rsidRDefault="00CA5949" w:rsidP="00CA5949">
      <w:pPr>
        <w:pStyle w:val="Didascalia"/>
        <w:jc w:val="both"/>
      </w:pPr>
      <w:r>
        <w:t xml:space="preserve">Figura </w:t>
      </w:r>
      <w:fldSimple w:instr=" SEQ Figura \* ARABIC ">
        <w:r w:rsidR="003627D1">
          <w:rPr>
            <w:noProof/>
          </w:rPr>
          <w:t>5</w:t>
        </w:r>
      </w:fldSimple>
      <w:r>
        <w:t>: Il calcolo dell'imposta sostitutiva</w:t>
      </w:r>
    </w:p>
    <w:p w14:paraId="1592D1CC" w14:textId="6204BBCE" w:rsidR="00CA5949" w:rsidRDefault="004B2113" w:rsidP="002E4746">
      <w:pPr>
        <w:jc w:val="both"/>
      </w:pPr>
      <w:r>
        <w:t xml:space="preserve">La </w:t>
      </w:r>
      <w:r w:rsidR="00522684">
        <w:t>differenza tra la il valore assegnato e l’imponibile per l’imposta sostitutiva sarà pari a</w:t>
      </w:r>
      <w:r w:rsidR="00DE131D">
        <w:t>l valore assegnato al socio</w:t>
      </w:r>
      <w:r w:rsidR="00FF4CE7">
        <w:t xml:space="preserve">. </w:t>
      </w:r>
    </w:p>
    <w:p w14:paraId="2CFF87AD" w14:textId="152BA7A4" w:rsidR="00FF4CE7" w:rsidRDefault="00CA5949" w:rsidP="00CA5949">
      <w:r>
        <w:br w:type="page"/>
      </w:r>
    </w:p>
    <w:p w14:paraId="6650371B" w14:textId="5D317C90" w:rsidR="00185B3E" w:rsidRDefault="00185B3E" w:rsidP="002E4746">
      <w:pPr>
        <w:jc w:val="both"/>
        <w:rPr>
          <w:b/>
          <w:bCs/>
        </w:rPr>
      </w:pPr>
      <w:r>
        <w:rPr>
          <w:b/>
          <w:bCs/>
        </w:rPr>
        <w:lastRenderedPageBreak/>
        <w:t>La tassazione in capo al socio</w:t>
      </w:r>
    </w:p>
    <w:p w14:paraId="5F83B3E6" w14:textId="41B63692" w:rsidR="007F67DC" w:rsidRPr="007F67DC" w:rsidRDefault="00917C1F" w:rsidP="00917C1F">
      <w:r w:rsidRPr="00917C1F">
        <w:t>La tassazione per il socio sarà influenzata dalle stesse variabili che hanno determinato la tassazione sostitutiva. Nel caso di una società di capitali, dipenderà dal modo in cui sarà ridotto il patrimonio netto e dalla contropartita nel passivo alla riduzione dell'attivo assegnato.</w:t>
      </w:r>
    </w:p>
    <w:p w14:paraId="2EB61040" w14:textId="65BE9BAA" w:rsidR="00A276AB" w:rsidRDefault="0053690A" w:rsidP="00A276AB">
      <w:pPr>
        <w:keepNext/>
        <w:jc w:val="both"/>
      </w:pPr>
      <w:r>
        <w:rPr>
          <w:noProof/>
        </w:rPr>
        <w:drawing>
          <wp:inline distT="0" distB="0" distL="0" distR="0" wp14:anchorId="5C66B0E8" wp14:editId="516C0864">
            <wp:extent cx="6186157" cy="3500013"/>
            <wp:effectExtent l="19050" t="19050" r="24765" b="24765"/>
            <wp:docPr id="264145510" name="Immagine 1" descr="Immagine che contiene testo, schermata, Carattere,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45510" name="Immagine 1" descr="Immagine che contiene testo, schermata, Carattere, logo&#10;&#10;Il contenuto generato dall'IA potrebbe non essere corretto."/>
                    <pic:cNvPicPr/>
                  </pic:nvPicPr>
                  <pic:blipFill>
                    <a:blip r:embed="rId13"/>
                    <a:stretch>
                      <a:fillRect/>
                    </a:stretch>
                  </pic:blipFill>
                  <pic:spPr>
                    <a:xfrm>
                      <a:off x="0" y="0"/>
                      <a:ext cx="6211651" cy="3514437"/>
                    </a:xfrm>
                    <a:prstGeom prst="rect">
                      <a:avLst/>
                    </a:prstGeom>
                    <a:ln>
                      <a:solidFill>
                        <a:schemeClr val="tx1"/>
                      </a:solidFill>
                    </a:ln>
                  </pic:spPr>
                </pic:pic>
              </a:graphicData>
            </a:graphic>
          </wp:inline>
        </w:drawing>
      </w:r>
    </w:p>
    <w:p w14:paraId="41304214" w14:textId="3A258E54" w:rsidR="00522684" w:rsidRDefault="00A276AB" w:rsidP="00A276AB">
      <w:pPr>
        <w:pStyle w:val="Didascalia"/>
        <w:jc w:val="both"/>
      </w:pPr>
      <w:r>
        <w:t xml:space="preserve">Figura </w:t>
      </w:r>
      <w:fldSimple w:instr=" SEQ Figura \* ARABIC ">
        <w:r w:rsidR="003627D1">
          <w:rPr>
            <w:noProof/>
          </w:rPr>
          <w:t>6</w:t>
        </w:r>
      </w:fldSimple>
      <w:r>
        <w:t>: Il valore per il socio</w:t>
      </w:r>
    </w:p>
    <w:p w14:paraId="422364E4" w14:textId="4E2D7BEC" w:rsidR="0053690A" w:rsidRDefault="00550362" w:rsidP="0053690A">
      <w:r>
        <w:t xml:space="preserve">Poiché </w:t>
      </w:r>
    </w:p>
    <w:p w14:paraId="7E1FC9A1" w14:textId="0525766B" w:rsidR="00550362" w:rsidRDefault="00550362" w:rsidP="0053690A">
      <w:r>
        <w:t xml:space="preserve">VS = VA – IIS </w:t>
      </w:r>
      <w:r w:rsidR="004F713B">
        <w:br/>
      </w:r>
      <w:r>
        <w:t xml:space="preserve">e </w:t>
      </w:r>
      <w:r w:rsidR="004F713B">
        <w:br/>
      </w:r>
      <w:r>
        <w:t xml:space="preserve">IIS = </w:t>
      </w:r>
      <w:r w:rsidR="004F713B">
        <w:t xml:space="preserve">VA -VF </w:t>
      </w:r>
    </w:p>
    <w:p w14:paraId="3A1500D4" w14:textId="63920566" w:rsidR="002D1DD8" w:rsidRDefault="004F713B" w:rsidP="0053690A">
      <w:r>
        <w:t>è del tutto evidente che VS = VA – (VA-VF)</w:t>
      </w:r>
      <w:r w:rsidR="002D1DD8">
        <w:t xml:space="preserve"> </w:t>
      </w:r>
      <w:r w:rsidR="00FE3742">
        <w:t xml:space="preserve">= </w:t>
      </w:r>
      <w:r w:rsidR="009202EC">
        <w:t>VF</w:t>
      </w:r>
    </w:p>
    <w:p w14:paraId="7C0E2334" w14:textId="32CD7A0A" w:rsidR="004F713B" w:rsidRDefault="00CA5949" w:rsidP="00FF0DC1">
      <w:pPr>
        <w:jc w:val="both"/>
      </w:pPr>
      <w:r>
        <w:t>Tenuto conto che</w:t>
      </w:r>
      <w:r w:rsidR="002D1DD8">
        <w:t xml:space="preserve"> l’imponibile </w:t>
      </w:r>
      <w:r w:rsidR="00F61157">
        <w:t>dell’imposta sostitutiva, anche in caso di valore assegnato inferiore al fiscale,</w:t>
      </w:r>
      <w:r w:rsidR="002D1DD8">
        <w:t xml:space="preserve"> non può essere minore di 0 (IIS≥0)</w:t>
      </w:r>
      <w:r w:rsidR="000E1807">
        <w:t>, il valore per il socio risulterà</w:t>
      </w:r>
      <w:r w:rsidR="001F2CE0">
        <w:t xml:space="preserve">: in caso di imponibile positivo pari al valore fiscale </w:t>
      </w:r>
      <w:r w:rsidR="00DE1969">
        <w:t>(</w:t>
      </w:r>
      <w:r w:rsidR="005E0334">
        <w:t>VS</w:t>
      </w:r>
      <w:r w:rsidR="00DE1969">
        <w:t xml:space="preserve"> = VF) e in caso di imponibile pari a 0 </w:t>
      </w:r>
      <w:r w:rsidR="005E0334">
        <w:t>sarà pari al valore assegnato</w:t>
      </w:r>
      <w:r w:rsidR="00FF0DC1">
        <w:t xml:space="preserve"> (VS=VA). In ogni caso il valore del socio sarà sempre pari al minore tra il valore assegnato e il valore fiscale.</w:t>
      </w:r>
    </w:p>
    <w:p w14:paraId="098006A2" w14:textId="67D2FFF8" w:rsidR="00E146DE" w:rsidRDefault="00E146DE" w:rsidP="00FF0DC1">
      <w:pPr>
        <w:jc w:val="both"/>
      </w:pPr>
      <w:r>
        <w:t xml:space="preserve">Anche in caso di valore per il socio positivo </w:t>
      </w:r>
      <w:r w:rsidR="00E30FA1">
        <w:t>non è detto che si generi tassazione aggiuntiva. La tassazione sul socio dipenderà da</w:t>
      </w:r>
      <w:r w:rsidR="0046576F">
        <w:t>lla quantità di utili utilizzati per l</w:t>
      </w:r>
      <w:r w:rsidR="00A75257">
        <w:t xml:space="preserve">’abbattimento del capitale. </w:t>
      </w:r>
    </w:p>
    <w:p w14:paraId="37D437D8" w14:textId="77777777" w:rsidR="00EC6C7F" w:rsidRDefault="00EC6C7F" w:rsidP="00EC6C7F">
      <w:pPr>
        <w:keepNext/>
        <w:jc w:val="both"/>
      </w:pPr>
      <w:r>
        <w:rPr>
          <w:noProof/>
        </w:rPr>
        <w:lastRenderedPageBreak/>
        <w:drawing>
          <wp:inline distT="0" distB="0" distL="0" distR="0" wp14:anchorId="4609C4FC" wp14:editId="20B05637">
            <wp:extent cx="6107919" cy="3361362"/>
            <wp:effectExtent l="19050" t="19050" r="26670" b="10795"/>
            <wp:docPr id="2888862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2953" cy="3391649"/>
                    </a:xfrm>
                    <a:prstGeom prst="rect">
                      <a:avLst/>
                    </a:prstGeom>
                    <a:noFill/>
                    <a:ln>
                      <a:solidFill>
                        <a:schemeClr val="tx1"/>
                      </a:solidFill>
                    </a:ln>
                  </pic:spPr>
                </pic:pic>
              </a:graphicData>
            </a:graphic>
          </wp:inline>
        </w:drawing>
      </w:r>
    </w:p>
    <w:p w14:paraId="31C5ECDD" w14:textId="32208048" w:rsidR="00EC6C7F" w:rsidRDefault="00EC6C7F" w:rsidP="00EC6C7F">
      <w:pPr>
        <w:pStyle w:val="Didascalia"/>
        <w:jc w:val="both"/>
      </w:pPr>
      <w:r>
        <w:t xml:space="preserve">Figura </w:t>
      </w:r>
      <w:fldSimple w:instr=" SEQ Figura \* ARABIC ">
        <w:r w:rsidR="003627D1">
          <w:rPr>
            <w:noProof/>
          </w:rPr>
          <w:t>7</w:t>
        </w:r>
      </w:fldSimple>
      <w:r>
        <w:t>: L'impatto fiscale sul socio</w:t>
      </w:r>
    </w:p>
    <w:p w14:paraId="011DC41D" w14:textId="3113550C" w:rsidR="00101D10" w:rsidRDefault="004A0D61" w:rsidP="004A0D61">
      <w:pPr>
        <w:jc w:val="both"/>
      </w:pPr>
      <w:r w:rsidRPr="004A0D61">
        <w:t>Il socio è tassato sui dividendi. Se il capitale viene ridotto usando solo riserve di capitale (%</w:t>
      </w:r>
      <w:proofErr w:type="spellStart"/>
      <w:r w:rsidRPr="004A0D61">
        <w:t>Ris</w:t>
      </w:r>
      <w:proofErr w:type="spellEnd"/>
      <w:r w:rsidRPr="004A0D61">
        <w:t xml:space="preserve"> = 100%), non ci sarà tassazione. L'uso delle riserve di capitale </w:t>
      </w:r>
      <w:r>
        <w:t xml:space="preserve">però </w:t>
      </w:r>
      <w:r w:rsidRPr="004A0D61">
        <w:t>ridurrà il valore della partecipazione del socio. Se questo valore scende sottozero, verrà trattato come un dividendo e tassato.</w:t>
      </w:r>
    </w:p>
    <w:p w14:paraId="754D89E6" w14:textId="68B03F9D" w:rsidR="00A75257" w:rsidRDefault="00A75257" w:rsidP="00FF0DC1">
      <w:pPr>
        <w:jc w:val="both"/>
      </w:pPr>
      <w:r>
        <w:t xml:space="preserve">Di fatto </w:t>
      </w:r>
      <w:r w:rsidR="00F5772E">
        <w:t>il socio è tassato solo in due casi: quando una quota di utili di sua pertinenza viene utilizzato per ridurre il patrimonio netto e quando la riduzione delle riserve di capitale di sua pertinenza supera il valore della partecipazione.</w:t>
      </w:r>
    </w:p>
    <w:p w14:paraId="018C4AAD" w14:textId="202B710E" w:rsidR="00185B3E" w:rsidRPr="0014266F" w:rsidRDefault="0014266F" w:rsidP="00FF0DC1">
      <w:pPr>
        <w:jc w:val="both"/>
        <w:rPr>
          <w:b/>
          <w:bCs/>
        </w:rPr>
      </w:pPr>
      <w:r w:rsidRPr="0014266F">
        <w:rPr>
          <w:b/>
          <w:bCs/>
        </w:rPr>
        <w:t>Un caso di applicazione</w:t>
      </w:r>
    </w:p>
    <w:p w14:paraId="1BF9E0B4" w14:textId="73299149" w:rsidR="002369A0" w:rsidRDefault="002369A0" w:rsidP="002369A0">
      <w:pPr>
        <w:jc w:val="both"/>
      </w:pPr>
      <w:r>
        <w:t>Si ipotizzino i seguenti dati</w:t>
      </w:r>
    </w:p>
    <w:p w14:paraId="7A120980" w14:textId="11565063" w:rsidR="002369A0" w:rsidRPr="002369A0" w:rsidRDefault="009202EC" w:rsidP="002369A0">
      <w:pPr>
        <w:jc w:val="both"/>
        <w:rPr>
          <w:i/>
          <w:iCs/>
        </w:rPr>
      </w:pPr>
      <w:r>
        <w:rPr>
          <w:i/>
          <w:iCs/>
        </w:rPr>
        <w:t>Assegnazione al v</w:t>
      </w:r>
      <w:r w:rsidR="002369A0" w:rsidRPr="002369A0">
        <w:rPr>
          <w:i/>
          <w:iCs/>
        </w:rPr>
        <w:t>alore Catastale (VC=VA): 100.000</w:t>
      </w:r>
    </w:p>
    <w:p w14:paraId="21037188" w14:textId="77777777" w:rsidR="002369A0" w:rsidRPr="002369A0" w:rsidRDefault="002369A0" w:rsidP="002369A0">
      <w:pPr>
        <w:jc w:val="both"/>
        <w:rPr>
          <w:i/>
          <w:iCs/>
        </w:rPr>
      </w:pPr>
      <w:r w:rsidRPr="002369A0">
        <w:rPr>
          <w:i/>
          <w:iCs/>
        </w:rPr>
        <w:t>Valore fiscalmente riconosciuto (VF): 150.000</w:t>
      </w:r>
    </w:p>
    <w:p w14:paraId="1C2735F7" w14:textId="77777777" w:rsidR="002369A0" w:rsidRPr="002369A0" w:rsidRDefault="002369A0" w:rsidP="002369A0">
      <w:pPr>
        <w:jc w:val="both"/>
        <w:rPr>
          <w:i/>
          <w:iCs/>
        </w:rPr>
      </w:pPr>
      <w:r w:rsidRPr="002369A0">
        <w:rPr>
          <w:i/>
          <w:iCs/>
        </w:rPr>
        <w:t>Valore della partecipazione ante assegnazione (VP): 200.000</w:t>
      </w:r>
    </w:p>
    <w:p w14:paraId="274E0A1E" w14:textId="3756ACA0" w:rsidR="002369A0" w:rsidRPr="002369A0" w:rsidRDefault="002369A0" w:rsidP="002369A0">
      <w:pPr>
        <w:jc w:val="both"/>
        <w:rPr>
          <w:i/>
          <w:iCs/>
        </w:rPr>
      </w:pPr>
      <w:r w:rsidRPr="002369A0">
        <w:rPr>
          <w:i/>
          <w:iCs/>
        </w:rPr>
        <w:t>Utilizzo di sole riserve di capitale (150.000) da cui %</w:t>
      </w:r>
      <w:proofErr w:type="spellStart"/>
      <w:r w:rsidRPr="002369A0">
        <w:rPr>
          <w:i/>
          <w:iCs/>
        </w:rPr>
        <w:t>Ris</w:t>
      </w:r>
      <w:proofErr w:type="spellEnd"/>
      <w:r w:rsidRPr="002369A0">
        <w:rPr>
          <w:i/>
          <w:iCs/>
        </w:rPr>
        <w:t>=1</w:t>
      </w:r>
      <w:r w:rsidR="00C41AFE">
        <w:rPr>
          <w:i/>
          <w:iCs/>
        </w:rPr>
        <w:t>00</w:t>
      </w:r>
      <w:r w:rsidR="009202EC">
        <w:rPr>
          <w:i/>
          <w:iCs/>
        </w:rPr>
        <w:t>%</w:t>
      </w:r>
    </w:p>
    <w:p w14:paraId="6E936B5A" w14:textId="77777777" w:rsidR="002369A0" w:rsidRPr="002369A0" w:rsidRDefault="002369A0" w:rsidP="002369A0">
      <w:pPr>
        <w:jc w:val="both"/>
      </w:pPr>
      <w:r w:rsidRPr="002369A0">
        <w:t>IIS =0 quindi IS = 0</w:t>
      </w:r>
    </w:p>
    <w:p w14:paraId="288A5D19" w14:textId="77777777" w:rsidR="002369A0" w:rsidRPr="002369A0" w:rsidRDefault="002369A0" w:rsidP="002369A0">
      <w:pPr>
        <w:jc w:val="both"/>
      </w:pPr>
      <w:r w:rsidRPr="002369A0">
        <w:t>VP2 = VP – VS = VP – VA = 200.000 – 100.000 = 100.000 &gt; 0</w:t>
      </w:r>
    </w:p>
    <w:p w14:paraId="696B7ACE" w14:textId="7F1F087C" w:rsidR="00CA0D40" w:rsidRDefault="00754C4E" w:rsidP="002369A0">
      <w:pPr>
        <w:jc w:val="both"/>
      </w:pPr>
      <w:r>
        <w:t xml:space="preserve">Pertanto siamo in presenza di </w:t>
      </w:r>
      <w:r w:rsidR="0014266F">
        <w:t xml:space="preserve">nessuna imposta sostitutiva e </w:t>
      </w:r>
      <w:r w:rsidR="002369A0" w:rsidRPr="002369A0">
        <w:t xml:space="preserve">nessuna </w:t>
      </w:r>
      <w:r w:rsidR="00006DBD">
        <w:t>tassazione sui soci</w:t>
      </w:r>
      <w:r>
        <w:t xml:space="preserve"> con un </w:t>
      </w:r>
      <w:r w:rsidR="00BB69F4">
        <w:t>c</w:t>
      </w:r>
      <w:r w:rsidR="002369A0" w:rsidRPr="002369A0">
        <w:t xml:space="preserve">osto </w:t>
      </w:r>
      <w:r w:rsidR="00BB69F4">
        <w:t>dell’</w:t>
      </w:r>
      <w:r w:rsidR="002369A0" w:rsidRPr="002369A0">
        <w:t>operazione per imposte dirette</w:t>
      </w:r>
      <w:r w:rsidR="00BB69F4">
        <w:t xml:space="preserve"> pari a 0</w:t>
      </w:r>
      <w:r>
        <w:t>.</w:t>
      </w:r>
    </w:p>
    <w:p w14:paraId="2028AE58" w14:textId="78CFDDDE" w:rsidR="00CA0D40" w:rsidRDefault="00965D4D" w:rsidP="002E4746">
      <w:pPr>
        <w:jc w:val="both"/>
        <w:rPr>
          <w:b/>
          <w:bCs/>
        </w:rPr>
      </w:pPr>
      <w:r w:rsidRPr="00965D4D">
        <w:rPr>
          <w:b/>
          <w:bCs/>
        </w:rPr>
        <w:t>Le imposte indirette</w:t>
      </w:r>
    </w:p>
    <w:p w14:paraId="0F4448DF" w14:textId="29A643AE" w:rsidR="00B45127" w:rsidRDefault="00F54050" w:rsidP="002E4746">
      <w:pPr>
        <w:jc w:val="both"/>
      </w:pPr>
      <w:r>
        <w:t>L’assegnazione agevolata comporta dei vantaggi anche in ordine all’imposizione dirett</w:t>
      </w:r>
      <w:r w:rsidR="00B45127">
        <w:t>a. Come riportato nella tabella.</w:t>
      </w:r>
    </w:p>
    <w:tbl>
      <w:tblPr>
        <w:tblStyle w:val="Grigliatabella"/>
        <w:tblW w:w="7933" w:type="dxa"/>
        <w:tblLook w:val="0420" w:firstRow="1" w:lastRow="0" w:firstColumn="0" w:lastColumn="0" w:noHBand="0" w:noVBand="1"/>
      </w:tblPr>
      <w:tblGrid>
        <w:gridCol w:w="3592"/>
        <w:gridCol w:w="564"/>
        <w:gridCol w:w="847"/>
        <w:gridCol w:w="848"/>
        <w:gridCol w:w="1048"/>
        <w:gridCol w:w="1034"/>
      </w:tblGrid>
      <w:tr w:rsidR="00D5556F" w:rsidRPr="00576EF7" w14:paraId="51EAF1DF" w14:textId="77777777" w:rsidTr="00CE068C">
        <w:trPr>
          <w:trHeight w:val="549"/>
        </w:trPr>
        <w:tc>
          <w:tcPr>
            <w:tcW w:w="3655" w:type="dxa"/>
            <w:hideMark/>
          </w:tcPr>
          <w:p w14:paraId="59D902A4" w14:textId="77777777" w:rsidR="00D5556F" w:rsidRPr="00576EF7" w:rsidRDefault="00D5556F" w:rsidP="00802CDC">
            <w:pPr>
              <w:spacing w:before="155"/>
              <w:ind w:left="29"/>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2"/>
                <w:kern w:val="0"/>
                <w:sz w:val="14"/>
                <w:szCs w:val="14"/>
                <w:lang w:eastAsia="it-IT"/>
                <w14:ligatures w14:val="none"/>
              </w:rPr>
              <w:lastRenderedPageBreak/>
              <w:t>Tipologia</w:t>
            </w:r>
          </w:p>
        </w:tc>
        <w:tc>
          <w:tcPr>
            <w:tcW w:w="566" w:type="dxa"/>
            <w:hideMark/>
          </w:tcPr>
          <w:p w14:paraId="21BC3DDA" w14:textId="77777777" w:rsidR="00D5556F" w:rsidRPr="00576EF7" w:rsidRDefault="00D5556F" w:rsidP="00802CDC">
            <w:pPr>
              <w:spacing w:before="155"/>
              <w:ind w:left="29"/>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5"/>
                <w:kern w:val="0"/>
                <w:sz w:val="14"/>
                <w:szCs w:val="14"/>
                <w:lang w:eastAsia="it-IT"/>
                <w14:ligatures w14:val="none"/>
              </w:rPr>
              <w:t>IVA</w:t>
            </w:r>
          </w:p>
        </w:tc>
        <w:tc>
          <w:tcPr>
            <w:tcW w:w="850" w:type="dxa"/>
            <w:hideMark/>
          </w:tcPr>
          <w:p w14:paraId="4D9DA977" w14:textId="77777777" w:rsidR="00D5556F" w:rsidRPr="00576EF7" w:rsidRDefault="00D5556F" w:rsidP="00802CDC">
            <w:pPr>
              <w:spacing w:before="16"/>
              <w:ind w:left="43"/>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2"/>
                <w:kern w:val="0"/>
                <w:sz w:val="14"/>
                <w:szCs w:val="14"/>
                <w:lang w:eastAsia="it-IT"/>
                <w14:ligatures w14:val="none"/>
              </w:rPr>
              <w:t>Registro</w:t>
            </w:r>
          </w:p>
          <w:p w14:paraId="347B08D5" w14:textId="77777777" w:rsidR="00D5556F" w:rsidRPr="00576EF7" w:rsidRDefault="00D5556F" w:rsidP="00802CDC">
            <w:pPr>
              <w:spacing w:before="36" w:line="238" w:lineRule="exact"/>
              <w:ind w:left="43"/>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2"/>
                <w:kern w:val="0"/>
                <w:sz w:val="14"/>
                <w:szCs w:val="14"/>
                <w:lang w:eastAsia="it-IT"/>
                <w14:ligatures w14:val="none"/>
              </w:rPr>
              <w:t>Fisso</w:t>
            </w:r>
          </w:p>
        </w:tc>
        <w:tc>
          <w:tcPr>
            <w:tcW w:w="849" w:type="dxa"/>
            <w:hideMark/>
          </w:tcPr>
          <w:p w14:paraId="6F0E9B9B" w14:textId="77777777" w:rsidR="00D5556F" w:rsidRPr="00576EF7" w:rsidRDefault="00D5556F" w:rsidP="00802CDC">
            <w:pPr>
              <w:spacing w:before="16"/>
              <w:ind w:left="29"/>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2"/>
                <w:kern w:val="0"/>
                <w:sz w:val="14"/>
                <w:szCs w:val="14"/>
                <w:lang w:eastAsia="it-IT"/>
                <w14:ligatures w14:val="none"/>
              </w:rPr>
              <w:t>Registro</w:t>
            </w:r>
          </w:p>
          <w:p w14:paraId="1E748D69" w14:textId="446C61C2" w:rsidR="00D5556F" w:rsidRPr="00576EF7" w:rsidRDefault="00D5556F" w:rsidP="00802CDC">
            <w:pPr>
              <w:spacing w:before="36" w:line="238" w:lineRule="exact"/>
              <w:ind w:left="29"/>
              <w:jc w:val="center"/>
              <w:rPr>
                <w:rFonts w:ascii="Arial" w:eastAsia="Times New Roman" w:hAnsi="Arial" w:cs="Arial"/>
                <w:b/>
                <w:bCs/>
                <w:kern w:val="0"/>
                <w:sz w:val="14"/>
                <w:szCs w:val="14"/>
                <w:lang w:eastAsia="it-IT"/>
                <w14:ligatures w14:val="none"/>
              </w:rPr>
            </w:pPr>
            <w:r w:rsidRPr="00576EF7">
              <w:rPr>
                <w:rFonts w:ascii="Calibri" w:eastAsia="Times New Roman" w:hAnsi="Calibri" w:cs="Calibri"/>
                <w:b/>
                <w:bCs/>
                <w:spacing w:val="-5"/>
                <w:kern w:val="0"/>
                <w:sz w:val="14"/>
                <w:szCs w:val="14"/>
                <w:lang w:eastAsia="it-IT"/>
                <w14:ligatures w14:val="none"/>
              </w:rPr>
              <w:t>A</w:t>
            </w:r>
            <w:r w:rsidRPr="00576EF7">
              <w:rPr>
                <w:rFonts w:ascii="Calibri" w:eastAsia="Times New Roman" w:hAnsi="Calibri" w:cs="Calibri"/>
                <w:b/>
                <w:bCs/>
                <w:spacing w:val="-5"/>
                <w:kern w:val="0"/>
                <w:sz w:val="14"/>
                <w:szCs w:val="14"/>
                <w:lang w:eastAsia="it-IT"/>
                <w14:ligatures w14:val="none"/>
              </w:rPr>
              <w:t>gevolato</w:t>
            </w:r>
          </w:p>
        </w:tc>
        <w:tc>
          <w:tcPr>
            <w:tcW w:w="1048" w:type="dxa"/>
            <w:hideMark/>
          </w:tcPr>
          <w:p w14:paraId="7861B19C" w14:textId="137A91DA" w:rsidR="00D5556F" w:rsidRPr="00576EF7" w:rsidRDefault="00D5556F" w:rsidP="00802CDC">
            <w:pPr>
              <w:spacing w:before="155"/>
              <w:ind w:right="43"/>
              <w:jc w:val="center"/>
              <w:rPr>
                <w:rFonts w:ascii="Arial" w:eastAsia="Times New Roman" w:hAnsi="Arial" w:cs="Arial"/>
                <w:b/>
                <w:bCs/>
                <w:kern w:val="0"/>
                <w:sz w:val="14"/>
                <w:szCs w:val="14"/>
                <w:lang w:eastAsia="it-IT"/>
                <w14:ligatures w14:val="none"/>
              </w:rPr>
            </w:pPr>
            <w:r>
              <w:rPr>
                <w:rFonts w:ascii="Calibri" w:eastAsia="Times New Roman" w:hAnsi="Calibri" w:cs="Calibri"/>
                <w:b/>
                <w:bCs/>
                <w:spacing w:val="-2"/>
                <w:kern w:val="0"/>
                <w:sz w:val="14"/>
                <w:szCs w:val="14"/>
                <w:lang w:eastAsia="it-IT"/>
                <w14:ligatures w14:val="none"/>
              </w:rPr>
              <w:t>Registro Proporzionale</w:t>
            </w:r>
          </w:p>
        </w:tc>
        <w:tc>
          <w:tcPr>
            <w:tcW w:w="965" w:type="dxa"/>
            <w:hideMark/>
          </w:tcPr>
          <w:p w14:paraId="0EA1F7BF" w14:textId="62B5CB2F" w:rsidR="00D5556F" w:rsidRPr="00576EF7" w:rsidRDefault="00D5556F" w:rsidP="00802CDC">
            <w:pPr>
              <w:spacing w:before="36" w:line="238" w:lineRule="exact"/>
              <w:ind w:left="29"/>
              <w:jc w:val="center"/>
              <w:rPr>
                <w:rFonts w:ascii="Arial" w:eastAsia="Times New Roman" w:hAnsi="Arial" w:cs="Arial"/>
                <w:b/>
                <w:bCs/>
                <w:kern w:val="0"/>
                <w:sz w:val="14"/>
                <w:szCs w:val="14"/>
                <w:lang w:eastAsia="it-IT"/>
                <w14:ligatures w14:val="none"/>
              </w:rPr>
            </w:pPr>
            <w:r>
              <w:rPr>
                <w:rFonts w:ascii="Calibri" w:eastAsia="Times New Roman" w:hAnsi="Calibri" w:cs="Calibri"/>
                <w:b/>
                <w:bCs/>
                <w:spacing w:val="-2"/>
                <w:kern w:val="0"/>
                <w:sz w:val="14"/>
                <w:szCs w:val="14"/>
                <w:lang w:eastAsia="it-IT"/>
                <w14:ligatures w14:val="none"/>
              </w:rPr>
              <w:t>Registro Proporzionale</w:t>
            </w:r>
            <w:r>
              <w:rPr>
                <w:rFonts w:ascii="Calibri" w:eastAsia="Times New Roman" w:hAnsi="Calibri" w:cs="Calibri"/>
                <w:b/>
                <w:bCs/>
                <w:spacing w:val="-2"/>
                <w:kern w:val="0"/>
                <w:sz w:val="14"/>
                <w:szCs w:val="14"/>
                <w:lang w:eastAsia="it-IT"/>
                <w14:ligatures w14:val="none"/>
              </w:rPr>
              <w:t xml:space="preserve"> agevolato</w:t>
            </w:r>
          </w:p>
        </w:tc>
      </w:tr>
      <w:tr w:rsidR="00D5556F" w:rsidRPr="00576EF7" w14:paraId="3C74397D" w14:textId="77777777" w:rsidTr="00CE068C">
        <w:trPr>
          <w:trHeight w:val="273"/>
        </w:trPr>
        <w:tc>
          <w:tcPr>
            <w:tcW w:w="3655" w:type="dxa"/>
            <w:hideMark/>
          </w:tcPr>
          <w:p w14:paraId="3D4DCA6F"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abitativi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da</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costruttrici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(&lt;5</w:t>
            </w:r>
            <w:r w:rsidRPr="00576EF7">
              <w:rPr>
                <w:rFonts w:ascii="Calibri" w:eastAsia="Times New Roman" w:hAnsi="Calibri" w:cs="Calibri"/>
                <w:spacing w:val="11"/>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Iva</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per</w:t>
            </w:r>
            <w:r w:rsidRPr="00576EF7">
              <w:rPr>
                <w:rFonts w:ascii="Calibri" w:eastAsia="Times New Roman" w:hAnsi="Calibri" w:cs="Calibri"/>
                <w:spacing w:val="8"/>
                <w:kern w:val="0"/>
                <w:sz w:val="14"/>
                <w:szCs w:val="14"/>
                <w:lang w:eastAsia="it-IT"/>
                <w14:ligatures w14:val="none"/>
              </w:rPr>
              <w:t xml:space="preserve"> opzione)</w:t>
            </w:r>
          </w:p>
        </w:tc>
        <w:tc>
          <w:tcPr>
            <w:tcW w:w="566" w:type="dxa"/>
            <w:hideMark/>
          </w:tcPr>
          <w:p w14:paraId="1A474FDD"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10%</w:t>
            </w:r>
          </w:p>
        </w:tc>
        <w:tc>
          <w:tcPr>
            <w:tcW w:w="850" w:type="dxa"/>
            <w:hideMark/>
          </w:tcPr>
          <w:p w14:paraId="3CCFA0EF"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045DCDE4"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1DB047DF" w14:textId="77777777" w:rsidR="00D5556F" w:rsidRPr="00576EF7" w:rsidRDefault="00D5556F" w:rsidP="00576EF7">
            <w:pPr>
              <w:rPr>
                <w:rFonts w:ascii="Arial" w:eastAsia="Times New Roman" w:hAnsi="Arial" w:cs="Arial"/>
                <w:kern w:val="0"/>
                <w:sz w:val="14"/>
                <w:szCs w:val="14"/>
                <w:lang w:eastAsia="it-IT"/>
                <w14:ligatures w14:val="none"/>
              </w:rPr>
            </w:pPr>
          </w:p>
        </w:tc>
        <w:tc>
          <w:tcPr>
            <w:tcW w:w="965" w:type="dxa"/>
            <w:hideMark/>
          </w:tcPr>
          <w:p w14:paraId="0EC1F7A7"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r w:rsidR="00D5556F" w:rsidRPr="00576EF7" w14:paraId="2F4143C6" w14:textId="77777777" w:rsidTr="00CE068C">
        <w:trPr>
          <w:trHeight w:val="275"/>
        </w:trPr>
        <w:tc>
          <w:tcPr>
            <w:tcW w:w="3655" w:type="dxa"/>
            <w:hideMark/>
          </w:tcPr>
          <w:p w14:paraId="51CE4F0B"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3"/>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abitativi</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w:t>
            </w:r>
            <w:r w:rsidRPr="00576EF7">
              <w:rPr>
                <w:rFonts w:ascii="Calibri" w:eastAsia="Times New Roman" w:hAnsi="Calibri" w:cs="Calibri"/>
                <w:spacing w:val="20"/>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Prima</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casa</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da</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impresa</w:t>
            </w:r>
            <w:r w:rsidRPr="00576EF7">
              <w:rPr>
                <w:rFonts w:ascii="Calibri" w:eastAsia="Times New Roman" w:hAnsi="Calibri" w:cs="Calibri"/>
                <w:spacing w:val="34"/>
                <w:kern w:val="0"/>
                <w:sz w:val="14"/>
                <w:szCs w:val="14"/>
                <w:lang w:eastAsia="it-IT"/>
                <w14:ligatures w14:val="none"/>
              </w:rPr>
              <w:t xml:space="preserve"> </w:t>
            </w:r>
            <w:proofErr w:type="spellStart"/>
            <w:r w:rsidRPr="00576EF7">
              <w:rPr>
                <w:rFonts w:ascii="Calibri" w:eastAsia="Times New Roman" w:hAnsi="Calibri" w:cs="Calibri"/>
                <w:kern w:val="0"/>
                <w:sz w:val="14"/>
                <w:szCs w:val="14"/>
                <w:lang w:eastAsia="it-IT"/>
                <w14:ligatures w14:val="none"/>
              </w:rPr>
              <w:t>costr</w:t>
            </w:r>
            <w:proofErr w:type="spellEnd"/>
            <w:r w:rsidRPr="00576EF7">
              <w:rPr>
                <w:rFonts w:ascii="Calibri" w:eastAsia="Times New Roman" w:hAnsi="Calibri" w:cs="Calibri"/>
                <w:kern w:val="0"/>
                <w:sz w:val="14"/>
                <w:szCs w:val="14"/>
                <w:lang w:eastAsia="it-IT"/>
                <w14:ligatures w14:val="none"/>
              </w:rPr>
              <w:t>.</w:t>
            </w:r>
            <w:r w:rsidRPr="00576EF7">
              <w:rPr>
                <w:rFonts w:ascii="Calibri" w:eastAsia="Times New Roman" w:hAnsi="Calibri" w:cs="Calibri"/>
                <w:spacing w:val="13"/>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(&lt;</w:t>
            </w:r>
            <w:r w:rsidRPr="00576EF7">
              <w:rPr>
                <w:rFonts w:ascii="Calibri" w:eastAsia="Times New Roman" w:hAnsi="Calibri" w:cs="Calibri"/>
                <w:spacing w:val="16"/>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5</w:t>
            </w:r>
            <w:r w:rsidRPr="00576EF7">
              <w:rPr>
                <w:rFonts w:ascii="Calibri" w:eastAsia="Times New Roman" w:hAnsi="Calibri" w:cs="Calibri"/>
                <w:spacing w:val="11"/>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o</w:t>
            </w:r>
            <w:r w:rsidRPr="00576EF7">
              <w:rPr>
                <w:rFonts w:ascii="Calibri" w:eastAsia="Times New Roman" w:hAnsi="Calibri" w:cs="Calibri"/>
                <w:spacing w:val="28"/>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Iva</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per</w:t>
            </w:r>
            <w:r w:rsidRPr="00576EF7">
              <w:rPr>
                <w:rFonts w:ascii="Calibri" w:eastAsia="Times New Roman" w:hAnsi="Calibri" w:cs="Calibri"/>
                <w:spacing w:val="10"/>
                <w:kern w:val="0"/>
                <w:sz w:val="14"/>
                <w:szCs w:val="14"/>
                <w:lang w:eastAsia="it-IT"/>
                <w14:ligatures w14:val="none"/>
              </w:rPr>
              <w:t xml:space="preserve"> </w:t>
            </w:r>
            <w:r w:rsidRPr="00576EF7">
              <w:rPr>
                <w:rFonts w:ascii="Calibri" w:eastAsia="Times New Roman" w:hAnsi="Calibri" w:cs="Calibri"/>
                <w:spacing w:val="8"/>
                <w:kern w:val="0"/>
                <w:sz w:val="14"/>
                <w:szCs w:val="14"/>
                <w:lang w:eastAsia="it-IT"/>
                <w14:ligatures w14:val="none"/>
              </w:rPr>
              <w:t>opzione)</w:t>
            </w:r>
          </w:p>
        </w:tc>
        <w:tc>
          <w:tcPr>
            <w:tcW w:w="566" w:type="dxa"/>
            <w:hideMark/>
          </w:tcPr>
          <w:p w14:paraId="14F89221" w14:textId="77777777" w:rsidR="00D5556F" w:rsidRPr="00576EF7" w:rsidRDefault="00D5556F" w:rsidP="00576EF7">
            <w:pPr>
              <w:spacing w:before="18"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4%</w:t>
            </w:r>
          </w:p>
        </w:tc>
        <w:tc>
          <w:tcPr>
            <w:tcW w:w="850" w:type="dxa"/>
            <w:hideMark/>
          </w:tcPr>
          <w:p w14:paraId="1F0ABBE8" w14:textId="77777777" w:rsidR="00D5556F" w:rsidRPr="00576EF7" w:rsidRDefault="00D5556F" w:rsidP="00576EF7">
            <w:pPr>
              <w:spacing w:before="18"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79D7646E" w14:textId="77777777" w:rsidR="00D5556F" w:rsidRPr="00576EF7" w:rsidRDefault="00D5556F" w:rsidP="00576EF7">
            <w:pPr>
              <w:spacing w:before="18"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5734D628" w14:textId="77777777" w:rsidR="00D5556F" w:rsidRPr="00576EF7" w:rsidRDefault="00D5556F" w:rsidP="00576EF7">
            <w:pPr>
              <w:rPr>
                <w:rFonts w:ascii="Arial" w:eastAsia="Times New Roman" w:hAnsi="Arial" w:cs="Arial"/>
                <w:kern w:val="0"/>
                <w:sz w:val="14"/>
                <w:szCs w:val="14"/>
                <w:lang w:eastAsia="it-IT"/>
                <w14:ligatures w14:val="none"/>
              </w:rPr>
            </w:pPr>
          </w:p>
        </w:tc>
        <w:tc>
          <w:tcPr>
            <w:tcW w:w="965" w:type="dxa"/>
            <w:hideMark/>
          </w:tcPr>
          <w:p w14:paraId="2108A2A9"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r w:rsidR="00D5556F" w:rsidRPr="00576EF7" w14:paraId="53AC1E07" w14:textId="77777777" w:rsidTr="00CE068C">
        <w:trPr>
          <w:trHeight w:val="273"/>
        </w:trPr>
        <w:tc>
          <w:tcPr>
            <w:tcW w:w="3655" w:type="dxa"/>
            <w:hideMark/>
          </w:tcPr>
          <w:p w14:paraId="75D1CB9B" w14:textId="77777777" w:rsidR="00D5556F" w:rsidRPr="00576EF7" w:rsidRDefault="00D5556F" w:rsidP="00576EF7">
            <w:pPr>
              <w:spacing w:before="56"/>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13"/>
                <w:kern w:val="0"/>
                <w:sz w:val="14"/>
                <w:szCs w:val="14"/>
                <w:lang w:eastAsia="it-IT"/>
                <w14:ligatures w14:val="none"/>
              </w:rPr>
              <w:t>lusso</w:t>
            </w:r>
            <w:r w:rsidRPr="00576EF7">
              <w:rPr>
                <w:rFonts w:ascii="Calibri" w:eastAsia="Times New Roman" w:hAnsi="Calibri" w:cs="Calibri"/>
                <w:spacing w:val="2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da</w:t>
            </w:r>
            <w:r w:rsidRPr="00576EF7">
              <w:rPr>
                <w:rFonts w:ascii="Calibri" w:eastAsia="Times New Roman" w:hAnsi="Calibri" w:cs="Calibri"/>
                <w:spacing w:val="32"/>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impresa</w:t>
            </w:r>
            <w:r w:rsidRPr="00576EF7">
              <w:rPr>
                <w:rFonts w:ascii="Calibri" w:eastAsia="Times New Roman" w:hAnsi="Calibri" w:cs="Calibri"/>
                <w:spacing w:val="31"/>
                <w:kern w:val="0"/>
                <w:sz w:val="14"/>
                <w:szCs w:val="14"/>
                <w:lang w:eastAsia="it-IT"/>
                <w14:ligatures w14:val="none"/>
              </w:rPr>
              <w:t xml:space="preserve"> </w:t>
            </w:r>
            <w:proofErr w:type="spellStart"/>
            <w:r w:rsidRPr="00576EF7">
              <w:rPr>
                <w:rFonts w:ascii="Calibri" w:eastAsia="Times New Roman" w:hAnsi="Calibri" w:cs="Calibri"/>
                <w:kern w:val="0"/>
                <w:sz w:val="14"/>
                <w:szCs w:val="14"/>
                <w:lang w:eastAsia="it-IT"/>
                <w14:ligatures w14:val="none"/>
              </w:rPr>
              <w:t>costr</w:t>
            </w:r>
            <w:proofErr w:type="spellEnd"/>
            <w:r w:rsidRPr="00576EF7">
              <w:rPr>
                <w:rFonts w:ascii="Calibri" w:eastAsia="Times New Roman" w:hAnsi="Calibri" w:cs="Calibri"/>
                <w:kern w:val="0"/>
                <w:sz w:val="14"/>
                <w:szCs w:val="14"/>
                <w:lang w:eastAsia="it-IT"/>
                <w14:ligatures w14:val="none"/>
              </w:rPr>
              <w:t>.</w:t>
            </w:r>
            <w:r w:rsidRPr="00576EF7">
              <w:rPr>
                <w:rFonts w:ascii="Calibri" w:eastAsia="Times New Roman" w:hAnsi="Calibri" w:cs="Calibri"/>
                <w:spacing w:val="12"/>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(&lt;</w:t>
            </w:r>
            <w:r w:rsidRPr="00576EF7">
              <w:rPr>
                <w:rFonts w:ascii="Calibri" w:eastAsia="Times New Roman" w:hAnsi="Calibri" w:cs="Calibri"/>
                <w:spacing w:val="12"/>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5</w:t>
            </w:r>
            <w:r w:rsidRPr="00576EF7">
              <w:rPr>
                <w:rFonts w:ascii="Calibri" w:eastAsia="Times New Roman" w:hAnsi="Calibri" w:cs="Calibri"/>
                <w:spacing w:val="11"/>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2"/>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Iva</w:t>
            </w:r>
            <w:r w:rsidRPr="00576EF7">
              <w:rPr>
                <w:rFonts w:ascii="Calibri" w:eastAsia="Times New Roman" w:hAnsi="Calibri" w:cs="Calibri"/>
                <w:spacing w:val="32"/>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per</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8"/>
                <w:kern w:val="0"/>
                <w:sz w:val="14"/>
                <w:szCs w:val="14"/>
                <w:lang w:eastAsia="it-IT"/>
                <w14:ligatures w14:val="none"/>
              </w:rPr>
              <w:t>opzione)</w:t>
            </w:r>
          </w:p>
        </w:tc>
        <w:tc>
          <w:tcPr>
            <w:tcW w:w="566" w:type="dxa"/>
            <w:hideMark/>
          </w:tcPr>
          <w:p w14:paraId="32969BAA"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22%</w:t>
            </w:r>
          </w:p>
        </w:tc>
        <w:tc>
          <w:tcPr>
            <w:tcW w:w="850" w:type="dxa"/>
            <w:hideMark/>
          </w:tcPr>
          <w:p w14:paraId="56DE94E2"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340290EC"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617E7A02" w14:textId="77777777" w:rsidR="00D5556F" w:rsidRPr="00576EF7" w:rsidRDefault="00D5556F" w:rsidP="00576EF7">
            <w:pPr>
              <w:rPr>
                <w:rFonts w:ascii="Arial" w:eastAsia="Times New Roman" w:hAnsi="Arial" w:cs="Arial"/>
                <w:kern w:val="0"/>
                <w:sz w:val="14"/>
                <w:szCs w:val="14"/>
                <w:lang w:eastAsia="it-IT"/>
                <w14:ligatures w14:val="none"/>
              </w:rPr>
            </w:pPr>
          </w:p>
        </w:tc>
        <w:tc>
          <w:tcPr>
            <w:tcW w:w="965" w:type="dxa"/>
            <w:hideMark/>
          </w:tcPr>
          <w:p w14:paraId="4C1B9B7B"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r w:rsidR="00D5556F" w:rsidRPr="00576EF7" w14:paraId="15B0DBE9" w14:textId="77777777" w:rsidTr="00CE068C">
        <w:trPr>
          <w:trHeight w:val="274"/>
        </w:trPr>
        <w:tc>
          <w:tcPr>
            <w:tcW w:w="3655" w:type="dxa"/>
            <w:hideMark/>
          </w:tcPr>
          <w:p w14:paraId="0D08D9B9"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abitativi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(&gt;5</w:t>
            </w:r>
            <w:r w:rsidRPr="00576EF7">
              <w:rPr>
                <w:rFonts w:ascii="Calibri" w:eastAsia="Times New Roman" w:hAnsi="Calibri" w:cs="Calibri"/>
                <w:spacing w:val="8"/>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Opzione</w:t>
            </w:r>
            <w:r w:rsidRPr="00576EF7">
              <w:rPr>
                <w:rFonts w:ascii="Calibri" w:eastAsia="Times New Roman" w:hAnsi="Calibri" w:cs="Calibri"/>
                <w:spacing w:val="27"/>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no</w:t>
            </w:r>
            <w:r w:rsidRPr="00576EF7">
              <w:rPr>
                <w:rFonts w:ascii="Calibri" w:eastAsia="Times New Roman" w:hAnsi="Calibri" w:cs="Calibri"/>
                <w:spacing w:val="24"/>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IVA</w:t>
            </w:r>
            <w:r w:rsidRPr="00576EF7">
              <w:rPr>
                <w:rFonts w:ascii="Calibri" w:eastAsia="Times New Roman" w:hAnsi="Calibri" w:cs="Calibri"/>
                <w:spacing w:val="1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22"/>
                <w:kern w:val="0"/>
                <w:sz w:val="14"/>
                <w:szCs w:val="14"/>
                <w:lang w:eastAsia="it-IT"/>
                <w14:ligatures w14:val="none"/>
              </w:rPr>
              <w:t xml:space="preserve"> </w:t>
            </w:r>
            <w:proofErr w:type="spellStart"/>
            <w:r w:rsidRPr="00576EF7">
              <w:rPr>
                <w:rFonts w:ascii="Calibri" w:eastAsia="Times New Roman" w:hAnsi="Calibri" w:cs="Calibri"/>
                <w:spacing w:val="2"/>
                <w:kern w:val="0"/>
                <w:sz w:val="14"/>
                <w:szCs w:val="14"/>
                <w:lang w:eastAsia="it-IT"/>
                <w14:ligatures w14:val="none"/>
              </w:rPr>
              <w:t>Acq</w:t>
            </w:r>
            <w:proofErr w:type="spellEnd"/>
            <w:r w:rsidRPr="00576EF7">
              <w:rPr>
                <w:rFonts w:ascii="Calibri" w:eastAsia="Times New Roman" w:hAnsi="Calibri" w:cs="Calibri"/>
                <w:spacing w:val="2"/>
                <w:kern w:val="0"/>
                <w:sz w:val="14"/>
                <w:szCs w:val="14"/>
                <w:lang w:eastAsia="it-IT"/>
                <w14:ligatures w14:val="none"/>
              </w:rPr>
              <w:t>.</w:t>
            </w:r>
            <w:r w:rsidRPr="00576EF7">
              <w:rPr>
                <w:rFonts w:ascii="Calibri" w:eastAsia="Times New Roman" w:hAnsi="Calibri" w:cs="Calibri"/>
                <w:spacing w:val="12"/>
                <w:kern w:val="0"/>
                <w:sz w:val="14"/>
                <w:szCs w:val="14"/>
                <w:lang w:eastAsia="it-IT"/>
                <w14:ligatures w14:val="none"/>
              </w:rPr>
              <w:t xml:space="preserve"> </w:t>
            </w:r>
            <w:r w:rsidRPr="00576EF7">
              <w:rPr>
                <w:rFonts w:ascii="Calibri" w:eastAsia="Times New Roman" w:hAnsi="Calibri" w:cs="Calibri"/>
                <w:spacing w:val="-5"/>
                <w:kern w:val="0"/>
                <w:sz w:val="14"/>
                <w:szCs w:val="14"/>
                <w:lang w:eastAsia="it-IT"/>
                <w14:ligatures w14:val="none"/>
              </w:rPr>
              <w:t>FC)</w:t>
            </w:r>
          </w:p>
        </w:tc>
        <w:tc>
          <w:tcPr>
            <w:tcW w:w="566" w:type="dxa"/>
            <w:hideMark/>
          </w:tcPr>
          <w:p w14:paraId="24B5005C" w14:textId="77777777" w:rsidR="00D5556F" w:rsidRPr="00576EF7" w:rsidRDefault="00D5556F" w:rsidP="00576EF7">
            <w:pPr>
              <w:rPr>
                <w:rFonts w:ascii="Arial" w:eastAsia="Times New Roman" w:hAnsi="Arial" w:cs="Arial"/>
                <w:kern w:val="0"/>
                <w:sz w:val="14"/>
                <w:szCs w:val="14"/>
                <w:lang w:eastAsia="it-IT"/>
                <w14:ligatures w14:val="none"/>
              </w:rPr>
            </w:pPr>
          </w:p>
        </w:tc>
        <w:tc>
          <w:tcPr>
            <w:tcW w:w="850" w:type="dxa"/>
            <w:hideMark/>
          </w:tcPr>
          <w:p w14:paraId="4EDB8D9B"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849" w:type="dxa"/>
            <w:hideMark/>
          </w:tcPr>
          <w:p w14:paraId="57D45863"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084FA915"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4"/>
                <w:kern w:val="0"/>
                <w:sz w:val="14"/>
                <w:szCs w:val="14"/>
                <w:lang w:eastAsia="it-IT"/>
                <w14:ligatures w14:val="none"/>
              </w:rPr>
              <w:t>9,0%</w:t>
            </w:r>
          </w:p>
        </w:tc>
        <w:tc>
          <w:tcPr>
            <w:tcW w:w="965" w:type="dxa"/>
            <w:hideMark/>
          </w:tcPr>
          <w:p w14:paraId="7316394E"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2"/>
                <w:kern w:val="0"/>
                <w:sz w:val="14"/>
                <w:szCs w:val="14"/>
                <w:lang w:eastAsia="it-IT"/>
                <w14:ligatures w14:val="none"/>
              </w:rPr>
              <w:t>4,50%</w:t>
            </w:r>
          </w:p>
        </w:tc>
      </w:tr>
      <w:tr w:rsidR="00D5556F" w:rsidRPr="00576EF7" w14:paraId="5DD4FA06" w14:textId="77777777" w:rsidTr="00CE068C">
        <w:trPr>
          <w:trHeight w:val="274"/>
        </w:trPr>
        <w:tc>
          <w:tcPr>
            <w:tcW w:w="3655" w:type="dxa"/>
            <w:hideMark/>
          </w:tcPr>
          <w:p w14:paraId="3CF12E65" w14:textId="77777777" w:rsidR="00D5556F" w:rsidRPr="00576EF7" w:rsidRDefault="00D5556F" w:rsidP="00576EF7">
            <w:pPr>
              <w:spacing w:before="57"/>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abitativi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w:t>
            </w:r>
            <w:r w:rsidRPr="00576EF7">
              <w:rPr>
                <w:rFonts w:ascii="Calibri" w:eastAsia="Times New Roman" w:hAnsi="Calibri" w:cs="Calibri"/>
                <w:spacing w:val="17"/>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Prima</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casa</w:t>
            </w:r>
            <w:r w:rsidRPr="00576EF7">
              <w:rPr>
                <w:rFonts w:ascii="Calibri" w:eastAsia="Times New Roman" w:hAnsi="Calibri" w:cs="Calibri"/>
                <w:spacing w:val="8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(&gt;5</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25"/>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Opzione</w:t>
            </w:r>
            <w:r w:rsidRPr="00576EF7">
              <w:rPr>
                <w:rFonts w:ascii="Calibri" w:eastAsia="Times New Roman" w:hAnsi="Calibri" w:cs="Calibri"/>
                <w:spacing w:val="29"/>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no</w:t>
            </w:r>
            <w:r w:rsidRPr="00576EF7">
              <w:rPr>
                <w:rFonts w:ascii="Calibri" w:eastAsia="Times New Roman" w:hAnsi="Calibri" w:cs="Calibri"/>
                <w:spacing w:val="25"/>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IVA</w:t>
            </w:r>
            <w:r w:rsidRPr="00576EF7">
              <w:rPr>
                <w:rFonts w:ascii="Calibri" w:eastAsia="Times New Roman" w:hAnsi="Calibri" w:cs="Calibri"/>
                <w:spacing w:val="14"/>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proofErr w:type="spellStart"/>
            <w:r w:rsidRPr="00576EF7">
              <w:rPr>
                <w:rFonts w:ascii="Calibri" w:eastAsia="Times New Roman" w:hAnsi="Calibri" w:cs="Calibri"/>
                <w:spacing w:val="2"/>
                <w:kern w:val="0"/>
                <w:sz w:val="14"/>
                <w:szCs w:val="14"/>
                <w:lang w:eastAsia="it-IT"/>
                <w14:ligatures w14:val="none"/>
              </w:rPr>
              <w:t>Acq</w:t>
            </w:r>
            <w:proofErr w:type="spellEnd"/>
            <w:r w:rsidRPr="00576EF7">
              <w:rPr>
                <w:rFonts w:ascii="Calibri" w:eastAsia="Times New Roman" w:hAnsi="Calibri" w:cs="Calibri"/>
                <w:spacing w:val="2"/>
                <w:kern w:val="0"/>
                <w:sz w:val="14"/>
                <w:szCs w:val="14"/>
                <w:lang w:eastAsia="it-IT"/>
                <w14:ligatures w14:val="none"/>
              </w:rPr>
              <w:t>.</w:t>
            </w:r>
            <w:r w:rsidRPr="00576EF7">
              <w:rPr>
                <w:rFonts w:ascii="Calibri" w:eastAsia="Times New Roman" w:hAnsi="Calibri" w:cs="Calibri"/>
                <w:spacing w:val="11"/>
                <w:kern w:val="0"/>
                <w:sz w:val="14"/>
                <w:szCs w:val="14"/>
                <w:lang w:eastAsia="it-IT"/>
                <w14:ligatures w14:val="none"/>
              </w:rPr>
              <w:t xml:space="preserve"> </w:t>
            </w:r>
            <w:r w:rsidRPr="00576EF7">
              <w:rPr>
                <w:rFonts w:ascii="Calibri" w:eastAsia="Times New Roman" w:hAnsi="Calibri" w:cs="Calibri"/>
                <w:spacing w:val="-5"/>
                <w:kern w:val="0"/>
                <w:sz w:val="14"/>
                <w:szCs w:val="14"/>
                <w:lang w:eastAsia="it-IT"/>
                <w14:ligatures w14:val="none"/>
              </w:rPr>
              <w:t>FC)</w:t>
            </w:r>
          </w:p>
        </w:tc>
        <w:tc>
          <w:tcPr>
            <w:tcW w:w="566" w:type="dxa"/>
            <w:hideMark/>
          </w:tcPr>
          <w:p w14:paraId="554EE55B" w14:textId="77777777" w:rsidR="00D5556F" w:rsidRPr="00576EF7" w:rsidRDefault="00D5556F" w:rsidP="00576EF7">
            <w:pPr>
              <w:rPr>
                <w:rFonts w:ascii="Arial" w:eastAsia="Times New Roman" w:hAnsi="Arial" w:cs="Arial"/>
                <w:kern w:val="0"/>
                <w:sz w:val="14"/>
                <w:szCs w:val="14"/>
                <w:lang w:eastAsia="it-IT"/>
                <w14:ligatures w14:val="none"/>
              </w:rPr>
            </w:pPr>
          </w:p>
        </w:tc>
        <w:tc>
          <w:tcPr>
            <w:tcW w:w="850" w:type="dxa"/>
            <w:hideMark/>
          </w:tcPr>
          <w:p w14:paraId="4EC1A8A7"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849" w:type="dxa"/>
            <w:hideMark/>
          </w:tcPr>
          <w:p w14:paraId="766FEB47"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3EA1F01D" w14:textId="77777777" w:rsidR="00D5556F" w:rsidRPr="00576EF7" w:rsidRDefault="00D5556F" w:rsidP="00576EF7">
            <w:pPr>
              <w:spacing w:before="17"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w:t>
            </w:r>
          </w:p>
        </w:tc>
        <w:tc>
          <w:tcPr>
            <w:tcW w:w="965" w:type="dxa"/>
            <w:hideMark/>
          </w:tcPr>
          <w:p w14:paraId="658562F9" w14:textId="77777777" w:rsidR="00D5556F" w:rsidRPr="00576EF7" w:rsidRDefault="00D5556F" w:rsidP="00576EF7">
            <w:pPr>
              <w:spacing w:before="17"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1%</w:t>
            </w:r>
          </w:p>
        </w:tc>
      </w:tr>
      <w:tr w:rsidR="00D5556F" w:rsidRPr="00576EF7" w14:paraId="4DF49D55" w14:textId="77777777" w:rsidTr="00CE068C">
        <w:trPr>
          <w:trHeight w:val="274"/>
        </w:trPr>
        <w:tc>
          <w:tcPr>
            <w:tcW w:w="3655" w:type="dxa"/>
            <w:hideMark/>
          </w:tcPr>
          <w:p w14:paraId="4E889F21"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Strumentali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(&lt;5</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Iva</w:t>
            </w:r>
            <w:r w:rsidRPr="00576EF7">
              <w:rPr>
                <w:rFonts w:ascii="Calibri" w:eastAsia="Times New Roman" w:hAnsi="Calibri" w:cs="Calibri"/>
                <w:spacing w:val="32"/>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per</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8"/>
                <w:kern w:val="0"/>
                <w:sz w:val="14"/>
                <w:szCs w:val="14"/>
                <w:lang w:eastAsia="it-IT"/>
                <w14:ligatures w14:val="none"/>
              </w:rPr>
              <w:t>opzione)</w:t>
            </w:r>
          </w:p>
        </w:tc>
        <w:tc>
          <w:tcPr>
            <w:tcW w:w="566" w:type="dxa"/>
            <w:hideMark/>
          </w:tcPr>
          <w:p w14:paraId="3FBA46AA"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22%</w:t>
            </w:r>
          </w:p>
        </w:tc>
        <w:tc>
          <w:tcPr>
            <w:tcW w:w="850" w:type="dxa"/>
            <w:hideMark/>
          </w:tcPr>
          <w:p w14:paraId="6835D12E" w14:textId="77777777" w:rsidR="00D5556F" w:rsidRPr="00576EF7" w:rsidRDefault="00D5556F" w:rsidP="00576EF7">
            <w:pPr>
              <w:spacing w:before="18" w:line="236"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73A6C15A" w14:textId="77777777" w:rsidR="00D5556F" w:rsidRPr="00576EF7" w:rsidRDefault="00D5556F" w:rsidP="00576EF7">
            <w:pPr>
              <w:spacing w:before="18" w:line="236"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5F548C42"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4%</w:t>
            </w:r>
          </w:p>
        </w:tc>
        <w:tc>
          <w:tcPr>
            <w:tcW w:w="965" w:type="dxa"/>
            <w:hideMark/>
          </w:tcPr>
          <w:p w14:paraId="4995B5D7" w14:textId="77777777" w:rsidR="00D5556F" w:rsidRPr="00576EF7" w:rsidRDefault="00D5556F" w:rsidP="00576EF7">
            <w:pPr>
              <w:rPr>
                <w:rFonts w:ascii="Arial" w:eastAsia="Times New Roman" w:hAnsi="Arial" w:cs="Arial"/>
                <w:kern w:val="0"/>
                <w:sz w:val="14"/>
                <w:szCs w:val="14"/>
                <w:lang w:eastAsia="it-IT"/>
                <w14:ligatures w14:val="none"/>
              </w:rPr>
            </w:pPr>
          </w:p>
        </w:tc>
      </w:tr>
      <w:tr w:rsidR="00D5556F" w:rsidRPr="00576EF7" w14:paraId="60E763D9" w14:textId="77777777" w:rsidTr="00CE068C">
        <w:trPr>
          <w:trHeight w:val="274"/>
        </w:trPr>
        <w:tc>
          <w:tcPr>
            <w:tcW w:w="3655" w:type="dxa"/>
            <w:hideMark/>
          </w:tcPr>
          <w:p w14:paraId="3C44A201" w14:textId="77777777" w:rsidR="00D5556F" w:rsidRPr="00576EF7" w:rsidRDefault="00D5556F" w:rsidP="00576EF7">
            <w:pPr>
              <w:spacing w:before="57"/>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Strumentali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(&gt;5</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anni</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no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Iva</w:t>
            </w:r>
            <w:r w:rsidRPr="00576EF7">
              <w:rPr>
                <w:rFonts w:ascii="Calibri" w:eastAsia="Times New Roman" w:hAnsi="Calibri" w:cs="Calibri"/>
                <w:spacing w:val="30"/>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per</w:t>
            </w:r>
            <w:r w:rsidRPr="00576EF7">
              <w:rPr>
                <w:rFonts w:ascii="Calibri" w:eastAsia="Times New Roman" w:hAnsi="Calibri" w:cs="Calibri"/>
                <w:spacing w:val="9"/>
                <w:kern w:val="0"/>
                <w:sz w:val="14"/>
                <w:szCs w:val="14"/>
                <w:lang w:eastAsia="it-IT"/>
                <w14:ligatures w14:val="none"/>
              </w:rPr>
              <w:t xml:space="preserve"> </w:t>
            </w:r>
            <w:r w:rsidRPr="00576EF7">
              <w:rPr>
                <w:rFonts w:ascii="Calibri" w:eastAsia="Times New Roman" w:hAnsi="Calibri" w:cs="Calibri"/>
                <w:spacing w:val="8"/>
                <w:kern w:val="0"/>
                <w:sz w:val="14"/>
                <w:szCs w:val="14"/>
                <w:lang w:eastAsia="it-IT"/>
                <w14:ligatures w14:val="none"/>
              </w:rPr>
              <w:t>opzione)</w:t>
            </w:r>
          </w:p>
        </w:tc>
        <w:tc>
          <w:tcPr>
            <w:tcW w:w="566" w:type="dxa"/>
            <w:hideMark/>
          </w:tcPr>
          <w:p w14:paraId="374AFA13" w14:textId="77777777" w:rsidR="00D5556F" w:rsidRPr="00576EF7" w:rsidRDefault="00D5556F" w:rsidP="00576EF7">
            <w:pPr>
              <w:rPr>
                <w:rFonts w:ascii="Arial" w:eastAsia="Times New Roman" w:hAnsi="Arial" w:cs="Arial"/>
                <w:kern w:val="0"/>
                <w:sz w:val="14"/>
                <w:szCs w:val="14"/>
                <w:lang w:eastAsia="it-IT"/>
                <w14:ligatures w14:val="none"/>
              </w:rPr>
            </w:pPr>
          </w:p>
        </w:tc>
        <w:tc>
          <w:tcPr>
            <w:tcW w:w="850" w:type="dxa"/>
            <w:hideMark/>
          </w:tcPr>
          <w:p w14:paraId="5268736F" w14:textId="77777777" w:rsidR="00D5556F" w:rsidRPr="00576EF7" w:rsidRDefault="00D5556F" w:rsidP="00576EF7">
            <w:pPr>
              <w:spacing w:before="17"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0C213C93" w14:textId="77777777" w:rsidR="00D5556F" w:rsidRPr="00576EF7" w:rsidRDefault="00D5556F" w:rsidP="00576EF7">
            <w:pPr>
              <w:spacing w:before="17"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721D7F4F" w14:textId="77777777" w:rsidR="00D5556F" w:rsidRPr="00576EF7" w:rsidRDefault="00D5556F" w:rsidP="00576EF7">
            <w:pPr>
              <w:spacing w:before="17"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4%</w:t>
            </w:r>
          </w:p>
        </w:tc>
        <w:tc>
          <w:tcPr>
            <w:tcW w:w="965" w:type="dxa"/>
            <w:hideMark/>
          </w:tcPr>
          <w:p w14:paraId="70A9E478" w14:textId="77777777" w:rsidR="00D5556F" w:rsidRPr="00576EF7" w:rsidRDefault="00D5556F" w:rsidP="00576EF7">
            <w:pPr>
              <w:rPr>
                <w:rFonts w:ascii="Arial" w:eastAsia="Times New Roman" w:hAnsi="Arial" w:cs="Arial"/>
                <w:kern w:val="0"/>
                <w:sz w:val="14"/>
                <w:szCs w:val="14"/>
                <w:lang w:eastAsia="it-IT"/>
                <w14:ligatures w14:val="none"/>
              </w:rPr>
            </w:pPr>
          </w:p>
        </w:tc>
      </w:tr>
      <w:tr w:rsidR="00D5556F" w:rsidRPr="00576EF7" w14:paraId="1D49F1EC" w14:textId="77777777" w:rsidTr="00CE068C">
        <w:trPr>
          <w:trHeight w:val="274"/>
        </w:trPr>
        <w:tc>
          <w:tcPr>
            <w:tcW w:w="3655" w:type="dxa"/>
            <w:hideMark/>
          </w:tcPr>
          <w:p w14:paraId="27EE5C31"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strumentali</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(acquistato</w:t>
            </w:r>
            <w:r w:rsidRPr="00576EF7">
              <w:rPr>
                <w:rFonts w:ascii="Calibri" w:eastAsia="Times New Roman" w:hAnsi="Calibri" w:cs="Calibri"/>
                <w:spacing w:val="26"/>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senza</w:t>
            </w:r>
            <w:r w:rsidRPr="00576EF7">
              <w:rPr>
                <w:rFonts w:ascii="Calibri" w:eastAsia="Times New Roman" w:hAnsi="Calibri" w:cs="Calibri"/>
                <w:spacing w:val="31"/>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addebito</w:t>
            </w:r>
            <w:r w:rsidRPr="00576EF7">
              <w:rPr>
                <w:rFonts w:ascii="Calibri" w:eastAsia="Times New Roman" w:hAnsi="Calibri" w:cs="Calibri"/>
                <w:spacing w:val="23"/>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IVA)</w:t>
            </w:r>
            <w:r w:rsidRPr="00576EF7">
              <w:rPr>
                <w:rFonts w:ascii="Calibri" w:eastAsia="Times New Roman" w:hAnsi="Calibri" w:cs="Calibri"/>
                <w:spacing w:val="18"/>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dest.</w:t>
            </w:r>
            <w:r w:rsidRPr="00576EF7">
              <w:rPr>
                <w:rFonts w:ascii="Calibri" w:eastAsia="Times New Roman" w:hAnsi="Calibri" w:cs="Calibri"/>
                <w:spacing w:val="14"/>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Commerciale</w:t>
            </w:r>
          </w:p>
        </w:tc>
        <w:tc>
          <w:tcPr>
            <w:tcW w:w="566" w:type="dxa"/>
            <w:hideMark/>
          </w:tcPr>
          <w:p w14:paraId="6677C968" w14:textId="77777777" w:rsidR="00D5556F" w:rsidRPr="00576EF7" w:rsidRDefault="00D5556F" w:rsidP="00576EF7">
            <w:pPr>
              <w:rPr>
                <w:rFonts w:ascii="Arial" w:eastAsia="Times New Roman" w:hAnsi="Arial" w:cs="Arial"/>
                <w:kern w:val="0"/>
                <w:sz w:val="14"/>
                <w:szCs w:val="14"/>
                <w:lang w:eastAsia="it-IT"/>
                <w14:ligatures w14:val="none"/>
              </w:rPr>
            </w:pPr>
          </w:p>
        </w:tc>
        <w:tc>
          <w:tcPr>
            <w:tcW w:w="850" w:type="dxa"/>
            <w:hideMark/>
          </w:tcPr>
          <w:p w14:paraId="1C76899A"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849" w:type="dxa"/>
            <w:hideMark/>
          </w:tcPr>
          <w:p w14:paraId="0A89A53A"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5D945219"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4%</w:t>
            </w:r>
          </w:p>
        </w:tc>
        <w:tc>
          <w:tcPr>
            <w:tcW w:w="965" w:type="dxa"/>
            <w:hideMark/>
          </w:tcPr>
          <w:p w14:paraId="1E1E737C" w14:textId="77777777" w:rsidR="00D5556F" w:rsidRPr="00576EF7" w:rsidRDefault="00D5556F" w:rsidP="00576EF7">
            <w:pPr>
              <w:spacing w:before="18" w:line="236"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w:t>
            </w:r>
          </w:p>
        </w:tc>
      </w:tr>
      <w:tr w:rsidR="00D5556F" w:rsidRPr="00576EF7" w14:paraId="2429DA46" w14:textId="77777777" w:rsidTr="00CE068C">
        <w:trPr>
          <w:trHeight w:val="274"/>
        </w:trPr>
        <w:tc>
          <w:tcPr>
            <w:tcW w:w="3655" w:type="dxa"/>
            <w:hideMark/>
          </w:tcPr>
          <w:p w14:paraId="38D29BD0" w14:textId="77777777" w:rsidR="00D5556F" w:rsidRPr="00576EF7" w:rsidRDefault="00D5556F" w:rsidP="00576EF7">
            <w:pPr>
              <w:spacing w:before="57"/>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11"/>
                <w:kern w:val="0"/>
                <w:sz w:val="14"/>
                <w:szCs w:val="14"/>
                <w:lang w:eastAsia="it-IT"/>
                <w14:ligatures w14:val="none"/>
              </w:rPr>
              <w:t>Immobili</w:t>
            </w:r>
            <w:r w:rsidRPr="00576EF7">
              <w:rPr>
                <w:rFonts w:ascii="Calibri" w:eastAsia="Times New Roman" w:hAnsi="Calibri" w:cs="Calibri"/>
                <w:spacing w:val="32"/>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strumentali</w:t>
            </w:r>
            <w:r w:rsidRPr="00576EF7">
              <w:rPr>
                <w:rFonts w:ascii="Calibri" w:eastAsia="Times New Roman" w:hAnsi="Calibri" w:cs="Calibri"/>
                <w:spacing w:val="33"/>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(acquistato</w:t>
            </w:r>
            <w:r w:rsidRPr="00576EF7">
              <w:rPr>
                <w:rFonts w:ascii="Calibri" w:eastAsia="Times New Roman" w:hAnsi="Calibri" w:cs="Calibri"/>
                <w:spacing w:val="26"/>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senza</w:t>
            </w:r>
            <w:r w:rsidRPr="00576EF7">
              <w:rPr>
                <w:rFonts w:ascii="Calibri" w:eastAsia="Times New Roman" w:hAnsi="Calibri" w:cs="Calibri"/>
                <w:spacing w:val="33"/>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addebito</w:t>
            </w:r>
            <w:r w:rsidRPr="00576EF7">
              <w:rPr>
                <w:rFonts w:ascii="Calibri" w:eastAsia="Times New Roman" w:hAnsi="Calibri" w:cs="Calibri"/>
                <w:spacing w:val="24"/>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IVA)</w:t>
            </w:r>
            <w:r w:rsidRPr="00576EF7">
              <w:rPr>
                <w:rFonts w:ascii="Calibri" w:eastAsia="Times New Roman" w:hAnsi="Calibri" w:cs="Calibri"/>
                <w:spacing w:val="18"/>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altre</w:t>
            </w:r>
            <w:r w:rsidRPr="00576EF7">
              <w:rPr>
                <w:rFonts w:ascii="Calibri" w:eastAsia="Times New Roman" w:hAnsi="Calibri" w:cs="Calibri"/>
                <w:spacing w:val="29"/>
                <w:kern w:val="0"/>
                <w:sz w:val="14"/>
                <w:szCs w:val="14"/>
                <w:lang w:eastAsia="it-IT"/>
                <w14:ligatures w14:val="none"/>
              </w:rPr>
              <w:t xml:space="preserve"> </w:t>
            </w:r>
            <w:r w:rsidRPr="00576EF7">
              <w:rPr>
                <w:rFonts w:ascii="Calibri" w:eastAsia="Times New Roman" w:hAnsi="Calibri" w:cs="Calibri"/>
                <w:spacing w:val="9"/>
                <w:kern w:val="0"/>
                <w:sz w:val="14"/>
                <w:szCs w:val="14"/>
                <w:lang w:eastAsia="it-IT"/>
                <w14:ligatures w14:val="none"/>
              </w:rPr>
              <w:t>destinazioni</w:t>
            </w:r>
          </w:p>
        </w:tc>
        <w:tc>
          <w:tcPr>
            <w:tcW w:w="566" w:type="dxa"/>
            <w:hideMark/>
          </w:tcPr>
          <w:p w14:paraId="417D66C5" w14:textId="77777777" w:rsidR="00D5556F" w:rsidRPr="00576EF7" w:rsidRDefault="00D5556F" w:rsidP="00576EF7">
            <w:pPr>
              <w:rPr>
                <w:rFonts w:ascii="Arial" w:eastAsia="Times New Roman" w:hAnsi="Arial" w:cs="Arial"/>
                <w:kern w:val="0"/>
                <w:sz w:val="14"/>
                <w:szCs w:val="14"/>
                <w:lang w:eastAsia="it-IT"/>
                <w14:ligatures w14:val="none"/>
              </w:rPr>
            </w:pPr>
          </w:p>
        </w:tc>
        <w:tc>
          <w:tcPr>
            <w:tcW w:w="850" w:type="dxa"/>
            <w:hideMark/>
          </w:tcPr>
          <w:p w14:paraId="02DC7C2C"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849" w:type="dxa"/>
            <w:hideMark/>
          </w:tcPr>
          <w:p w14:paraId="5F945DFA"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59E6304A" w14:textId="77777777" w:rsidR="00D5556F" w:rsidRPr="00576EF7" w:rsidRDefault="00D5556F" w:rsidP="00576EF7">
            <w:pPr>
              <w:spacing w:before="17"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9%</w:t>
            </w:r>
          </w:p>
        </w:tc>
        <w:tc>
          <w:tcPr>
            <w:tcW w:w="965" w:type="dxa"/>
            <w:hideMark/>
          </w:tcPr>
          <w:p w14:paraId="6ED76A03" w14:textId="77777777" w:rsidR="00D5556F" w:rsidRPr="00576EF7" w:rsidRDefault="00D5556F" w:rsidP="00576EF7">
            <w:pPr>
              <w:spacing w:before="17"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2"/>
                <w:kern w:val="0"/>
                <w:sz w:val="14"/>
                <w:szCs w:val="14"/>
                <w:lang w:eastAsia="it-IT"/>
                <w14:ligatures w14:val="none"/>
              </w:rPr>
              <w:t>4,50%</w:t>
            </w:r>
          </w:p>
        </w:tc>
      </w:tr>
      <w:tr w:rsidR="00D5556F" w:rsidRPr="00576EF7" w14:paraId="331DEED7" w14:textId="77777777" w:rsidTr="00CE068C">
        <w:trPr>
          <w:trHeight w:val="273"/>
        </w:trPr>
        <w:tc>
          <w:tcPr>
            <w:tcW w:w="3655" w:type="dxa"/>
            <w:hideMark/>
          </w:tcPr>
          <w:p w14:paraId="74A76513"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kern w:val="0"/>
                <w:sz w:val="14"/>
                <w:szCs w:val="14"/>
                <w:lang w:eastAsia="it-IT"/>
                <w14:ligatures w14:val="none"/>
              </w:rPr>
              <w:t>Terreno</w:t>
            </w:r>
            <w:r w:rsidRPr="00576EF7">
              <w:rPr>
                <w:rFonts w:ascii="Calibri" w:eastAsia="Times New Roman" w:hAnsi="Calibri" w:cs="Calibri"/>
                <w:spacing w:val="60"/>
                <w:kern w:val="0"/>
                <w:sz w:val="14"/>
                <w:szCs w:val="14"/>
                <w:lang w:eastAsia="it-IT"/>
                <w14:ligatures w14:val="none"/>
              </w:rPr>
              <w:t xml:space="preserve"> </w:t>
            </w:r>
            <w:r w:rsidRPr="00576EF7">
              <w:rPr>
                <w:rFonts w:ascii="Calibri" w:eastAsia="Times New Roman" w:hAnsi="Calibri" w:cs="Calibri"/>
                <w:spacing w:val="8"/>
                <w:kern w:val="0"/>
                <w:sz w:val="14"/>
                <w:szCs w:val="14"/>
                <w:lang w:eastAsia="it-IT"/>
                <w14:ligatures w14:val="none"/>
              </w:rPr>
              <w:t>Edificabile</w:t>
            </w:r>
          </w:p>
        </w:tc>
        <w:tc>
          <w:tcPr>
            <w:tcW w:w="566" w:type="dxa"/>
            <w:hideMark/>
          </w:tcPr>
          <w:p w14:paraId="52587BEF"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22%</w:t>
            </w:r>
          </w:p>
        </w:tc>
        <w:tc>
          <w:tcPr>
            <w:tcW w:w="850" w:type="dxa"/>
            <w:hideMark/>
          </w:tcPr>
          <w:p w14:paraId="27975FE2"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754635B1"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2186CA47" w14:textId="77777777" w:rsidR="00D5556F" w:rsidRPr="00576EF7" w:rsidRDefault="00D5556F" w:rsidP="00576EF7">
            <w:pPr>
              <w:rPr>
                <w:rFonts w:ascii="Arial" w:eastAsia="Times New Roman" w:hAnsi="Arial" w:cs="Arial"/>
                <w:kern w:val="0"/>
                <w:sz w:val="14"/>
                <w:szCs w:val="14"/>
                <w:lang w:eastAsia="it-IT"/>
                <w14:ligatures w14:val="none"/>
              </w:rPr>
            </w:pPr>
          </w:p>
        </w:tc>
        <w:tc>
          <w:tcPr>
            <w:tcW w:w="965" w:type="dxa"/>
            <w:hideMark/>
          </w:tcPr>
          <w:p w14:paraId="4B0ACCC0"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r w:rsidR="00D5556F" w:rsidRPr="00576EF7" w14:paraId="43FC93A6" w14:textId="77777777" w:rsidTr="00CE068C">
        <w:trPr>
          <w:trHeight w:val="275"/>
        </w:trPr>
        <w:tc>
          <w:tcPr>
            <w:tcW w:w="3655" w:type="dxa"/>
            <w:hideMark/>
          </w:tcPr>
          <w:p w14:paraId="1E608373"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kern w:val="0"/>
                <w:sz w:val="14"/>
                <w:szCs w:val="14"/>
                <w:lang w:eastAsia="it-IT"/>
                <w14:ligatures w14:val="none"/>
              </w:rPr>
              <w:t>Terreno</w:t>
            </w:r>
            <w:r w:rsidRPr="00576EF7">
              <w:rPr>
                <w:rFonts w:ascii="Calibri" w:eastAsia="Times New Roman" w:hAnsi="Calibri" w:cs="Calibri"/>
                <w:spacing w:val="6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Agricolo</w:t>
            </w:r>
          </w:p>
        </w:tc>
        <w:tc>
          <w:tcPr>
            <w:tcW w:w="566" w:type="dxa"/>
            <w:hideMark/>
          </w:tcPr>
          <w:p w14:paraId="430A2271" w14:textId="77777777" w:rsidR="00D5556F" w:rsidRPr="00576EF7" w:rsidRDefault="00D5556F" w:rsidP="00576EF7">
            <w:pPr>
              <w:spacing w:before="18"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0%</w:t>
            </w:r>
          </w:p>
        </w:tc>
        <w:tc>
          <w:tcPr>
            <w:tcW w:w="850" w:type="dxa"/>
            <w:hideMark/>
          </w:tcPr>
          <w:p w14:paraId="76D8273C" w14:textId="77777777" w:rsidR="00D5556F" w:rsidRPr="00576EF7" w:rsidRDefault="00D5556F" w:rsidP="00576EF7">
            <w:pPr>
              <w:rPr>
                <w:rFonts w:ascii="Arial" w:eastAsia="Times New Roman" w:hAnsi="Arial" w:cs="Arial"/>
                <w:kern w:val="0"/>
                <w:sz w:val="14"/>
                <w:szCs w:val="14"/>
                <w:lang w:eastAsia="it-IT"/>
                <w14:ligatures w14:val="none"/>
              </w:rPr>
            </w:pPr>
          </w:p>
        </w:tc>
        <w:tc>
          <w:tcPr>
            <w:tcW w:w="849" w:type="dxa"/>
            <w:hideMark/>
          </w:tcPr>
          <w:p w14:paraId="5D660EFF"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2F5A438D" w14:textId="77777777" w:rsidR="00D5556F" w:rsidRPr="00576EF7" w:rsidRDefault="00D5556F" w:rsidP="00576EF7">
            <w:pPr>
              <w:spacing w:before="18"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15%</w:t>
            </w:r>
          </w:p>
        </w:tc>
        <w:tc>
          <w:tcPr>
            <w:tcW w:w="965" w:type="dxa"/>
            <w:hideMark/>
          </w:tcPr>
          <w:p w14:paraId="34DE35D1" w14:textId="77777777" w:rsidR="00D5556F" w:rsidRPr="00576EF7" w:rsidRDefault="00D5556F" w:rsidP="00576EF7">
            <w:pPr>
              <w:spacing w:before="18"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2"/>
                <w:kern w:val="0"/>
                <w:sz w:val="14"/>
                <w:szCs w:val="14"/>
                <w:lang w:eastAsia="it-IT"/>
                <w14:ligatures w14:val="none"/>
              </w:rPr>
              <w:t>7,50%</w:t>
            </w:r>
          </w:p>
        </w:tc>
      </w:tr>
      <w:tr w:rsidR="00D5556F" w:rsidRPr="00576EF7" w14:paraId="0EF45ABF" w14:textId="77777777" w:rsidTr="00CE068C">
        <w:trPr>
          <w:trHeight w:val="273"/>
        </w:trPr>
        <w:tc>
          <w:tcPr>
            <w:tcW w:w="3655" w:type="dxa"/>
            <w:hideMark/>
          </w:tcPr>
          <w:p w14:paraId="4BB92617"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kern w:val="0"/>
                <w:sz w:val="14"/>
                <w:szCs w:val="14"/>
                <w:lang w:eastAsia="it-IT"/>
                <w14:ligatures w14:val="none"/>
              </w:rPr>
              <w:t>Terreno</w:t>
            </w:r>
            <w:r w:rsidRPr="00576EF7">
              <w:rPr>
                <w:rFonts w:ascii="Calibri" w:eastAsia="Times New Roman" w:hAnsi="Calibri" w:cs="Calibri"/>
                <w:spacing w:val="37"/>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non</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Edificabile</w:t>
            </w:r>
            <w:r w:rsidRPr="00576EF7">
              <w:rPr>
                <w:rFonts w:ascii="Calibri" w:eastAsia="Times New Roman" w:hAnsi="Calibri" w:cs="Calibri"/>
                <w:spacing w:val="45"/>
                <w:kern w:val="0"/>
                <w:sz w:val="14"/>
                <w:szCs w:val="14"/>
                <w:lang w:eastAsia="it-IT"/>
                <w14:ligatures w14:val="none"/>
              </w:rPr>
              <w:t xml:space="preserve"> </w:t>
            </w:r>
            <w:r w:rsidRPr="00576EF7">
              <w:rPr>
                <w:rFonts w:ascii="Calibri" w:eastAsia="Times New Roman" w:hAnsi="Calibri" w:cs="Calibri"/>
                <w:kern w:val="0"/>
                <w:sz w:val="14"/>
                <w:szCs w:val="14"/>
                <w:lang w:eastAsia="it-IT"/>
                <w14:ligatures w14:val="none"/>
              </w:rPr>
              <w:t>né</w:t>
            </w:r>
            <w:r w:rsidRPr="00576EF7">
              <w:rPr>
                <w:rFonts w:ascii="Calibri" w:eastAsia="Times New Roman" w:hAnsi="Calibri" w:cs="Calibri"/>
                <w:spacing w:val="40"/>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Agricolo</w:t>
            </w:r>
          </w:p>
        </w:tc>
        <w:tc>
          <w:tcPr>
            <w:tcW w:w="566" w:type="dxa"/>
            <w:hideMark/>
          </w:tcPr>
          <w:p w14:paraId="596A30B5"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0%</w:t>
            </w:r>
          </w:p>
        </w:tc>
        <w:tc>
          <w:tcPr>
            <w:tcW w:w="850" w:type="dxa"/>
            <w:hideMark/>
          </w:tcPr>
          <w:p w14:paraId="59DB76B4" w14:textId="77777777" w:rsidR="00D5556F" w:rsidRPr="00576EF7" w:rsidRDefault="00D5556F" w:rsidP="00576EF7">
            <w:pPr>
              <w:rPr>
                <w:rFonts w:ascii="Arial" w:eastAsia="Times New Roman" w:hAnsi="Arial" w:cs="Arial"/>
                <w:kern w:val="0"/>
                <w:sz w:val="14"/>
                <w:szCs w:val="14"/>
                <w:lang w:eastAsia="it-IT"/>
                <w14:ligatures w14:val="none"/>
              </w:rPr>
            </w:pPr>
          </w:p>
        </w:tc>
        <w:tc>
          <w:tcPr>
            <w:tcW w:w="849" w:type="dxa"/>
            <w:hideMark/>
          </w:tcPr>
          <w:p w14:paraId="5365C742"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029A1016"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9%</w:t>
            </w:r>
          </w:p>
        </w:tc>
        <w:tc>
          <w:tcPr>
            <w:tcW w:w="965" w:type="dxa"/>
            <w:hideMark/>
          </w:tcPr>
          <w:p w14:paraId="6B67DF0D" w14:textId="77777777" w:rsidR="00D5556F" w:rsidRPr="00576EF7" w:rsidRDefault="00D5556F" w:rsidP="00576EF7">
            <w:pPr>
              <w:spacing w:before="16"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2"/>
                <w:kern w:val="0"/>
                <w:sz w:val="14"/>
                <w:szCs w:val="14"/>
                <w:lang w:eastAsia="it-IT"/>
                <w14:ligatures w14:val="none"/>
              </w:rPr>
              <w:t>4,50%</w:t>
            </w:r>
          </w:p>
        </w:tc>
      </w:tr>
      <w:tr w:rsidR="00D5556F" w:rsidRPr="00576EF7" w14:paraId="5F0A0A9F" w14:textId="77777777" w:rsidTr="00CE068C">
        <w:trPr>
          <w:trHeight w:val="275"/>
        </w:trPr>
        <w:tc>
          <w:tcPr>
            <w:tcW w:w="3655" w:type="dxa"/>
            <w:hideMark/>
          </w:tcPr>
          <w:p w14:paraId="4F4A0217" w14:textId="77777777" w:rsidR="00D5556F" w:rsidRPr="00576EF7" w:rsidRDefault="00D5556F" w:rsidP="00576EF7">
            <w:pPr>
              <w:spacing w:before="58"/>
              <w:ind w:left="29"/>
              <w:rPr>
                <w:rFonts w:ascii="Arial" w:eastAsia="Times New Roman" w:hAnsi="Arial" w:cs="Arial"/>
                <w:kern w:val="0"/>
                <w:sz w:val="14"/>
                <w:szCs w:val="14"/>
                <w:lang w:eastAsia="it-IT"/>
                <w14:ligatures w14:val="none"/>
              </w:rPr>
            </w:pPr>
            <w:r w:rsidRPr="00576EF7">
              <w:rPr>
                <w:rFonts w:ascii="Calibri" w:eastAsia="Times New Roman" w:hAnsi="Calibri" w:cs="Calibri"/>
                <w:kern w:val="0"/>
                <w:sz w:val="14"/>
                <w:szCs w:val="14"/>
                <w:lang w:eastAsia="it-IT"/>
                <w14:ligatures w14:val="none"/>
              </w:rPr>
              <w:t>Altri</w:t>
            </w:r>
            <w:r w:rsidRPr="00576EF7">
              <w:rPr>
                <w:rFonts w:ascii="Calibri" w:eastAsia="Times New Roman" w:hAnsi="Calibri" w:cs="Calibri"/>
                <w:spacing w:val="42"/>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Beni</w:t>
            </w:r>
          </w:p>
        </w:tc>
        <w:tc>
          <w:tcPr>
            <w:tcW w:w="566" w:type="dxa"/>
            <w:hideMark/>
          </w:tcPr>
          <w:p w14:paraId="3E3F3970" w14:textId="77777777" w:rsidR="00D5556F" w:rsidRPr="00576EF7" w:rsidRDefault="00D5556F" w:rsidP="00576EF7">
            <w:pPr>
              <w:spacing w:before="18" w:line="238" w:lineRule="exact"/>
              <w:ind w:right="29"/>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22%</w:t>
            </w:r>
          </w:p>
        </w:tc>
        <w:tc>
          <w:tcPr>
            <w:tcW w:w="850" w:type="dxa"/>
            <w:hideMark/>
          </w:tcPr>
          <w:p w14:paraId="1A8B646B" w14:textId="77777777" w:rsidR="00D5556F" w:rsidRPr="00576EF7" w:rsidRDefault="00D5556F" w:rsidP="00576EF7">
            <w:pPr>
              <w:rPr>
                <w:rFonts w:ascii="Arial" w:eastAsia="Times New Roman" w:hAnsi="Arial" w:cs="Arial"/>
                <w:kern w:val="0"/>
                <w:sz w:val="14"/>
                <w:szCs w:val="14"/>
                <w:lang w:eastAsia="it-IT"/>
                <w14:ligatures w14:val="none"/>
              </w:rPr>
            </w:pPr>
          </w:p>
        </w:tc>
        <w:tc>
          <w:tcPr>
            <w:tcW w:w="849" w:type="dxa"/>
            <w:hideMark/>
          </w:tcPr>
          <w:p w14:paraId="70981178"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1048" w:type="dxa"/>
            <w:hideMark/>
          </w:tcPr>
          <w:p w14:paraId="14E31611"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c>
          <w:tcPr>
            <w:tcW w:w="965" w:type="dxa"/>
            <w:hideMark/>
          </w:tcPr>
          <w:p w14:paraId="66D24C30"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r w:rsidR="00D5556F" w:rsidRPr="00576EF7" w14:paraId="423B30C0" w14:textId="77777777" w:rsidTr="00CE068C">
        <w:trPr>
          <w:trHeight w:val="273"/>
        </w:trPr>
        <w:tc>
          <w:tcPr>
            <w:tcW w:w="3655" w:type="dxa"/>
            <w:hideMark/>
          </w:tcPr>
          <w:p w14:paraId="1F466076" w14:textId="77777777" w:rsidR="00D5556F" w:rsidRPr="00576EF7" w:rsidRDefault="00D5556F" w:rsidP="00576EF7">
            <w:pPr>
              <w:spacing w:before="56"/>
              <w:ind w:left="29"/>
              <w:rPr>
                <w:rFonts w:ascii="Arial" w:eastAsia="Times New Roman" w:hAnsi="Arial" w:cs="Arial"/>
                <w:kern w:val="0"/>
                <w:sz w:val="14"/>
                <w:szCs w:val="14"/>
                <w:lang w:eastAsia="it-IT"/>
                <w14:ligatures w14:val="none"/>
              </w:rPr>
            </w:pPr>
            <w:r w:rsidRPr="00576EF7">
              <w:rPr>
                <w:rFonts w:ascii="Calibri" w:eastAsia="Times New Roman" w:hAnsi="Calibri" w:cs="Calibri"/>
                <w:spacing w:val="2"/>
                <w:kern w:val="0"/>
                <w:sz w:val="14"/>
                <w:szCs w:val="14"/>
                <w:lang w:eastAsia="it-IT"/>
                <w14:ligatures w14:val="none"/>
              </w:rPr>
              <w:t>Terreno</w:t>
            </w:r>
            <w:r w:rsidRPr="00576EF7">
              <w:rPr>
                <w:rFonts w:ascii="Calibri" w:eastAsia="Times New Roman" w:hAnsi="Calibri" w:cs="Calibri"/>
                <w:spacing w:val="37"/>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Agricolo</w:t>
            </w:r>
            <w:r w:rsidRPr="00576EF7">
              <w:rPr>
                <w:rFonts w:ascii="Calibri" w:eastAsia="Times New Roman" w:hAnsi="Calibri" w:cs="Calibri"/>
                <w:spacing w:val="37"/>
                <w:kern w:val="0"/>
                <w:sz w:val="14"/>
                <w:szCs w:val="14"/>
                <w:lang w:eastAsia="it-IT"/>
                <w14:ligatures w14:val="none"/>
              </w:rPr>
              <w:t xml:space="preserve"> </w:t>
            </w:r>
            <w:r w:rsidRPr="00576EF7">
              <w:rPr>
                <w:rFonts w:ascii="Calibri" w:eastAsia="Times New Roman" w:hAnsi="Calibri" w:cs="Calibri"/>
                <w:spacing w:val="10"/>
                <w:kern w:val="0"/>
                <w:sz w:val="14"/>
                <w:szCs w:val="14"/>
                <w:lang w:eastAsia="it-IT"/>
                <w14:ligatures w14:val="none"/>
              </w:rPr>
              <w:t>(cessionario</w:t>
            </w:r>
            <w:r w:rsidRPr="00576EF7">
              <w:rPr>
                <w:rFonts w:ascii="Calibri" w:eastAsia="Times New Roman" w:hAnsi="Calibri" w:cs="Calibri"/>
                <w:spacing w:val="37"/>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Colt.</w:t>
            </w:r>
            <w:r w:rsidRPr="00576EF7">
              <w:rPr>
                <w:rFonts w:ascii="Calibri" w:eastAsia="Times New Roman" w:hAnsi="Calibri" w:cs="Calibri"/>
                <w:spacing w:val="21"/>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Diretto</w:t>
            </w:r>
            <w:r w:rsidRPr="00576EF7">
              <w:rPr>
                <w:rFonts w:ascii="Calibri" w:eastAsia="Times New Roman" w:hAnsi="Calibri" w:cs="Calibri"/>
                <w:spacing w:val="37"/>
                <w:kern w:val="0"/>
                <w:sz w:val="14"/>
                <w:szCs w:val="14"/>
                <w:lang w:eastAsia="it-IT"/>
                <w14:ligatures w14:val="none"/>
              </w:rPr>
              <w:t xml:space="preserve"> </w:t>
            </w:r>
            <w:r w:rsidRPr="00576EF7">
              <w:rPr>
                <w:rFonts w:ascii="Calibri" w:eastAsia="Times New Roman" w:hAnsi="Calibri" w:cs="Calibri"/>
                <w:spacing w:val="2"/>
                <w:kern w:val="0"/>
                <w:sz w:val="14"/>
                <w:szCs w:val="14"/>
                <w:lang w:eastAsia="it-IT"/>
                <w14:ligatures w14:val="none"/>
              </w:rPr>
              <w:t>o</w:t>
            </w:r>
            <w:r w:rsidRPr="00576EF7">
              <w:rPr>
                <w:rFonts w:ascii="Calibri" w:eastAsia="Times New Roman" w:hAnsi="Calibri" w:cs="Calibri"/>
                <w:spacing w:val="34"/>
                <w:kern w:val="0"/>
                <w:sz w:val="14"/>
                <w:szCs w:val="14"/>
                <w:lang w:eastAsia="it-IT"/>
                <w14:ligatures w14:val="none"/>
              </w:rPr>
              <w:t xml:space="preserve"> </w:t>
            </w:r>
            <w:r w:rsidRPr="00576EF7">
              <w:rPr>
                <w:rFonts w:ascii="Calibri" w:eastAsia="Times New Roman" w:hAnsi="Calibri" w:cs="Calibri"/>
                <w:spacing w:val="-4"/>
                <w:kern w:val="0"/>
                <w:sz w:val="14"/>
                <w:szCs w:val="14"/>
                <w:lang w:eastAsia="it-IT"/>
                <w14:ligatures w14:val="none"/>
              </w:rPr>
              <w:t>IAP)</w:t>
            </w:r>
          </w:p>
        </w:tc>
        <w:tc>
          <w:tcPr>
            <w:tcW w:w="566" w:type="dxa"/>
            <w:hideMark/>
          </w:tcPr>
          <w:p w14:paraId="1E96D031"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kern w:val="0"/>
                <w:sz w:val="14"/>
                <w:szCs w:val="14"/>
                <w:lang w:eastAsia="it-IT"/>
                <w14:ligatures w14:val="none"/>
              </w:rPr>
              <w:t>0</w:t>
            </w:r>
          </w:p>
        </w:tc>
        <w:tc>
          <w:tcPr>
            <w:tcW w:w="850" w:type="dxa"/>
            <w:hideMark/>
          </w:tcPr>
          <w:p w14:paraId="1ABD973C"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849" w:type="dxa"/>
            <w:hideMark/>
          </w:tcPr>
          <w:p w14:paraId="765F8B72" w14:textId="77777777" w:rsidR="00D5556F" w:rsidRPr="00576EF7" w:rsidRDefault="00D5556F" w:rsidP="00576EF7">
            <w:pPr>
              <w:spacing w:before="16" w:line="238" w:lineRule="exact"/>
              <w:ind w:right="14"/>
              <w:jc w:val="right"/>
              <w:rPr>
                <w:rFonts w:ascii="Arial" w:eastAsia="Times New Roman" w:hAnsi="Arial" w:cs="Arial"/>
                <w:kern w:val="0"/>
                <w:sz w:val="14"/>
                <w:szCs w:val="14"/>
                <w:lang w:eastAsia="it-IT"/>
                <w14:ligatures w14:val="none"/>
              </w:rPr>
            </w:pPr>
            <w:r w:rsidRPr="00576EF7">
              <w:rPr>
                <w:rFonts w:ascii="Calibri" w:eastAsia="Times New Roman" w:hAnsi="Calibri" w:cs="Calibri"/>
                <w:spacing w:val="-5"/>
                <w:kern w:val="0"/>
                <w:sz w:val="14"/>
                <w:szCs w:val="14"/>
                <w:lang w:eastAsia="it-IT"/>
                <w14:ligatures w14:val="none"/>
              </w:rPr>
              <w:t>200</w:t>
            </w:r>
          </w:p>
        </w:tc>
        <w:tc>
          <w:tcPr>
            <w:tcW w:w="1048" w:type="dxa"/>
            <w:hideMark/>
          </w:tcPr>
          <w:p w14:paraId="4A758C86" w14:textId="77777777" w:rsidR="00D5556F" w:rsidRPr="00576EF7" w:rsidRDefault="00D5556F" w:rsidP="00576EF7">
            <w:pPr>
              <w:rPr>
                <w:rFonts w:ascii="Arial" w:eastAsia="Times New Roman" w:hAnsi="Arial" w:cs="Arial"/>
                <w:kern w:val="0"/>
                <w:sz w:val="14"/>
                <w:szCs w:val="14"/>
                <w:lang w:eastAsia="it-IT"/>
                <w14:ligatures w14:val="none"/>
              </w:rPr>
            </w:pPr>
          </w:p>
        </w:tc>
        <w:tc>
          <w:tcPr>
            <w:tcW w:w="965" w:type="dxa"/>
            <w:hideMark/>
          </w:tcPr>
          <w:p w14:paraId="1A9CD11D" w14:textId="77777777" w:rsidR="00D5556F" w:rsidRPr="00576EF7" w:rsidRDefault="00D5556F" w:rsidP="00576EF7">
            <w:pPr>
              <w:rPr>
                <w:rFonts w:ascii="Times New Roman" w:eastAsia="Times New Roman" w:hAnsi="Times New Roman" w:cs="Times New Roman"/>
                <w:kern w:val="0"/>
                <w:sz w:val="14"/>
                <w:szCs w:val="14"/>
                <w:lang w:eastAsia="it-IT"/>
                <w14:ligatures w14:val="none"/>
              </w:rPr>
            </w:pPr>
          </w:p>
        </w:tc>
      </w:tr>
    </w:tbl>
    <w:p w14:paraId="2A0A35F5" w14:textId="77777777" w:rsidR="00B45127" w:rsidRDefault="00B45127" w:rsidP="002E4746">
      <w:pPr>
        <w:jc w:val="both"/>
      </w:pPr>
    </w:p>
    <w:p w14:paraId="2F3789C2" w14:textId="4C11F2A3" w:rsidR="00D549DC" w:rsidRDefault="00D549DC" w:rsidP="002E4746">
      <w:pPr>
        <w:jc w:val="both"/>
      </w:pPr>
      <w:r>
        <w:t xml:space="preserve">Infine </w:t>
      </w:r>
      <w:r w:rsidR="000F3743">
        <w:t>occorre ricordare che in caso di spossessamento di bene per il quale si è detratta l’iva occor</w:t>
      </w:r>
      <w:r w:rsidR="0040220F">
        <w:t>rerà considerare l</w:t>
      </w:r>
      <w:r w:rsidR="00C15B38">
        <w:t xml:space="preserve">a rettifica della detrazione per decimi </w:t>
      </w:r>
      <w:r w:rsidR="00772273">
        <w:t>mancanti.</w:t>
      </w:r>
    </w:p>
    <w:p w14:paraId="1223F360" w14:textId="77777777" w:rsidR="00DB6BDC" w:rsidRDefault="00DB6BDC" w:rsidP="00DB6BDC">
      <w:pPr>
        <w:keepNext/>
        <w:jc w:val="both"/>
      </w:pPr>
      <w:r w:rsidRPr="00DB6BDC">
        <w:drawing>
          <wp:inline distT="0" distB="0" distL="0" distR="0" wp14:anchorId="5A03C7E0" wp14:editId="4644B899">
            <wp:extent cx="6120130" cy="1131570"/>
            <wp:effectExtent l="0" t="0" r="0" b="0"/>
            <wp:docPr id="94397709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1131570"/>
                    </a:xfrm>
                    <a:prstGeom prst="rect">
                      <a:avLst/>
                    </a:prstGeom>
                    <a:noFill/>
                    <a:ln>
                      <a:noFill/>
                    </a:ln>
                  </pic:spPr>
                </pic:pic>
              </a:graphicData>
            </a:graphic>
          </wp:inline>
        </w:drawing>
      </w:r>
    </w:p>
    <w:p w14:paraId="08B3AE73" w14:textId="69328F3F" w:rsidR="00772273" w:rsidRDefault="00DB6BDC" w:rsidP="00DB6BDC">
      <w:pPr>
        <w:pStyle w:val="Didascalia"/>
        <w:jc w:val="both"/>
      </w:pPr>
      <w:r>
        <w:t xml:space="preserve">Figura </w:t>
      </w:r>
      <w:fldSimple w:instr=" SEQ Figura \* ARABIC ">
        <w:r w:rsidR="003627D1">
          <w:rPr>
            <w:noProof/>
          </w:rPr>
          <w:t>8</w:t>
        </w:r>
      </w:fldSimple>
      <w:r>
        <w:t>: La rettifica della detrazione</w:t>
      </w:r>
    </w:p>
    <w:p w14:paraId="12AFC34E" w14:textId="5912574C" w:rsidR="0054284C" w:rsidRDefault="0054284C" w:rsidP="002E4746">
      <w:pPr>
        <w:jc w:val="both"/>
        <w:rPr>
          <w:b/>
          <w:bCs/>
        </w:rPr>
      </w:pPr>
      <w:r w:rsidRPr="0054284C">
        <w:rPr>
          <w:b/>
          <w:bCs/>
        </w:rPr>
        <w:t>La</w:t>
      </w:r>
      <w:r>
        <w:rPr>
          <w:b/>
          <w:bCs/>
        </w:rPr>
        <w:t xml:space="preserve"> gestione della pratica</w:t>
      </w:r>
    </w:p>
    <w:p w14:paraId="70BDACE0" w14:textId="12C2EE6F" w:rsidR="0054284C" w:rsidRDefault="0054284C" w:rsidP="002E4746">
      <w:pPr>
        <w:jc w:val="both"/>
      </w:pPr>
      <w:r>
        <w:t xml:space="preserve">Il tool assegnazione consente di </w:t>
      </w:r>
      <w:r w:rsidR="009202EC">
        <w:t>trattare tutti i differenti aspetti della</w:t>
      </w:r>
      <w:r w:rsidR="00D549DC">
        <w:t xml:space="preserve"> pratica</w:t>
      </w:r>
      <w:r w:rsidR="00594F97">
        <w:t xml:space="preserve"> consentendo di gestire:</w:t>
      </w:r>
    </w:p>
    <w:p w14:paraId="37A02128" w14:textId="3A5E70A3" w:rsidR="00594F97" w:rsidRDefault="005A7A35" w:rsidP="00594F97">
      <w:pPr>
        <w:pStyle w:val="Paragrafoelenco"/>
        <w:numPr>
          <w:ilvl w:val="0"/>
          <w:numId w:val="4"/>
        </w:numPr>
        <w:jc w:val="both"/>
      </w:pPr>
      <w:r>
        <w:t>La società</w:t>
      </w:r>
    </w:p>
    <w:p w14:paraId="4CC274E1" w14:textId="25F0C94E" w:rsidR="00594F97" w:rsidRDefault="005A7A35" w:rsidP="00594F97">
      <w:pPr>
        <w:pStyle w:val="Paragrafoelenco"/>
        <w:numPr>
          <w:ilvl w:val="0"/>
          <w:numId w:val="4"/>
        </w:numPr>
        <w:jc w:val="both"/>
      </w:pPr>
      <w:r>
        <w:t>I soci</w:t>
      </w:r>
    </w:p>
    <w:p w14:paraId="3D028D3A" w14:textId="2D21BC29" w:rsidR="005A7A35" w:rsidRDefault="005A7A35" w:rsidP="00594F97">
      <w:pPr>
        <w:pStyle w:val="Paragrafoelenco"/>
        <w:numPr>
          <w:ilvl w:val="0"/>
          <w:numId w:val="4"/>
        </w:numPr>
        <w:jc w:val="both"/>
      </w:pPr>
      <w:r>
        <w:t>I beni</w:t>
      </w:r>
    </w:p>
    <w:p w14:paraId="598E13B3" w14:textId="464D0E53" w:rsidR="005A7A35" w:rsidRDefault="0025029F" w:rsidP="00594F97">
      <w:pPr>
        <w:pStyle w:val="Paragrafoelenco"/>
        <w:numPr>
          <w:ilvl w:val="0"/>
          <w:numId w:val="4"/>
        </w:numPr>
        <w:jc w:val="both"/>
      </w:pPr>
      <w:r>
        <w:t>Le quote assegnate</w:t>
      </w:r>
    </w:p>
    <w:p w14:paraId="5A53CBFF" w14:textId="33A53E81" w:rsidR="000264FE" w:rsidRDefault="00E173F1" w:rsidP="002E4746">
      <w:pPr>
        <w:jc w:val="both"/>
      </w:pPr>
      <w:r>
        <w:t xml:space="preserve">In base alle </w:t>
      </w:r>
      <w:r w:rsidR="000264FE">
        <w:t>vari</w:t>
      </w:r>
      <w:r>
        <w:t>abili inserite verr</w:t>
      </w:r>
      <w:r w:rsidR="00D82F85">
        <w:t>anno</w:t>
      </w:r>
      <w:r>
        <w:t xml:space="preserve"> calcolat</w:t>
      </w:r>
      <w:r w:rsidR="00D82F85">
        <w:t>e:</w:t>
      </w:r>
    </w:p>
    <w:p w14:paraId="3A12011B" w14:textId="62470446" w:rsidR="00D82F85" w:rsidRDefault="00D82F85" w:rsidP="00D82F85">
      <w:pPr>
        <w:pStyle w:val="Paragrafoelenco"/>
        <w:numPr>
          <w:ilvl w:val="0"/>
          <w:numId w:val="5"/>
        </w:numPr>
        <w:jc w:val="both"/>
      </w:pPr>
      <w:r>
        <w:t>Le imposte sostitutive</w:t>
      </w:r>
    </w:p>
    <w:p w14:paraId="53F36D71" w14:textId="15CA8CEA" w:rsidR="00B971CA" w:rsidRDefault="00B971CA" w:rsidP="00D82F85">
      <w:pPr>
        <w:pStyle w:val="Paragrafoelenco"/>
        <w:numPr>
          <w:ilvl w:val="0"/>
          <w:numId w:val="5"/>
        </w:numPr>
        <w:jc w:val="both"/>
      </w:pPr>
      <w:r>
        <w:t>L’eventuale affrancamento delle riserve</w:t>
      </w:r>
    </w:p>
    <w:p w14:paraId="7F3FF011" w14:textId="1488136C" w:rsidR="00D82F85" w:rsidRDefault="00D82F85" w:rsidP="00D82F85">
      <w:pPr>
        <w:pStyle w:val="Paragrafoelenco"/>
        <w:numPr>
          <w:ilvl w:val="0"/>
          <w:numId w:val="5"/>
        </w:numPr>
        <w:jc w:val="both"/>
      </w:pPr>
      <w:r>
        <w:t>La tassazione indiretta</w:t>
      </w:r>
    </w:p>
    <w:p w14:paraId="02CA9D5E" w14:textId="6859B606" w:rsidR="00D82F85" w:rsidRDefault="00D82F85" w:rsidP="00D82F85">
      <w:pPr>
        <w:pStyle w:val="Paragrafoelenco"/>
        <w:numPr>
          <w:ilvl w:val="0"/>
          <w:numId w:val="5"/>
        </w:numPr>
        <w:jc w:val="both"/>
      </w:pPr>
      <w:r>
        <w:t xml:space="preserve">La </w:t>
      </w:r>
      <w:r w:rsidR="002A2B0A">
        <w:t>tassazione in capo ai soci per dividendi</w:t>
      </w:r>
    </w:p>
    <w:p w14:paraId="70511558" w14:textId="33C78368" w:rsidR="002A2B0A" w:rsidRDefault="002A2B0A" w:rsidP="00D82F85">
      <w:pPr>
        <w:pStyle w:val="Paragrafoelenco"/>
        <w:numPr>
          <w:ilvl w:val="0"/>
          <w:numId w:val="5"/>
        </w:numPr>
        <w:jc w:val="both"/>
      </w:pPr>
      <w:r>
        <w:t xml:space="preserve">La </w:t>
      </w:r>
      <w:r w:rsidR="00200429">
        <w:t>tassazione per rettifica della detrazione</w:t>
      </w:r>
    </w:p>
    <w:p w14:paraId="3530C872" w14:textId="6973D88A" w:rsidR="003B6B8F" w:rsidRDefault="00A70A84" w:rsidP="008E05FB">
      <w:pPr>
        <w:jc w:val="both"/>
      </w:pPr>
      <w:r>
        <w:lastRenderedPageBreak/>
        <w:t xml:space="preserve">Come vedremo nella seconda parte </w:t>
      </w:r>
      <w:r w:rsidR="00BE75C0">
        <w:t>(</w:t>
      </w:r>
      <w:r>
        <w:t>nel prossimo articolo</w:t>
      </w:r>
      <w:r w:rsidR="00BE75C0">
        <w:t>)</w:t>
      </w:r>
      <w:r>
        <w:t>, l</w:t>
      </w:r>
      <w:r w:rsidR="008E05FB">
        <w:t xml:space="preserve">a somma algebrica di questi effetti andrà confrontata con la tassazione in caso di </w:t>
      </w:r>
      <w:r w:rsidR="003B6B8F">
        <w:t>operazione senza l’agevolazione per calcolare il percorso più conveniente da seguire.</w:t>
      </w:r>
    </w:p>
    <w:p w14:paraId="40976EFF" w14:textId="2BB2117F" w:rsidR="00873C76" w:rsidRDefault="00873C76" w:rsidP="008E05FB">
      <w:pPr>
        <w:jc w:val="both"/>
      </w:pPr>
    </w:p>
    <w:sectPr w:rsidR="00873C7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D16E7"/>
    <w:multiLevelType w:val="hybridMultilevel"/>
    <w:tmpl w:val="9892B5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93631DA"/>
    <w:multiLevelType w:val="hybridMultilevel"/>
    <w:tmpl w:val="645ED9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D915DC7"/>
    <w:multiLevelType w:val="hybridMultilevel"/>
    <w:tmpl w:val="ECF63DB2"/>
    <w:lvl w:ilvl="0" w:tplc="3CF2A138">
      <w:start w:val="1"/>
      <w:numFmt w:val="bullet"/>
      <w:lvlText w:val="•"/>
      <w:lvlJc w:val="left"/>
      <w:pPr>
        <w:tabs>
          <w:tab w:val="num" w:pos="720"/>
        </w:tabs>
        <w:ind w:left="720" w:hanging="360"/>
      </w:pPr>
      <w:rPr>
        <w:rFonts w:ascii="Times New Roman" w:hAnsi="Times New Roman" w:hint="default"/>
      </w:rPr>
    </w:lvl>
    <w:lvl w:ilvl="1" w:tplc="4AE49456" w:tentative="1">
      <w:start w:val="1"/>
      <w:numFmt w:val="bullet"/>
      <w:lvlText w:val="•"/>
      <w:lvlJc w:val="left"/>
      <w:pPr>
        <w:tabs>
          <w:tab w:val="num" w:pos="1440"/>
        </w:tabs>
        <w:ind w:left="1440" w:hanging="360"/>
      </w:pPr>
      <w:rPr>
        <w:rFonts w:ascii="Times New Roman" w:hAnsi="Times New Roman" w:hint="default"/>
      </w:rPr>
    </w:lvl>
    <w:lvl w:ilvl="2" w:tplc="31EA37B8" w:tentative="1">
      <w:start w:val="1"/>
      <w:numFmt w:val="bullet"/>
      <w:lvlText w:val="•"/>
      <w:lvlJc w:val="left"/>
      <w:pPr>
        <w:tabs>
          <w:tab w:val="num" w:pos="2160"/>
        </w:tabs>
        <w:ind w:left="2160" w:hanging="360"/>
      </w:pPr>
      <w:rPr>
        <w:rFonts w:ascii="Times New Roman" w:hAnsi="Times New Roman" w:hint="default"/>
      </w:rPr>
    </w:lvl>
    <w:lvl w:ilvl="3" w:tplc="F6C22D74" w:tentative="1">
      <w:start w:val="1"/>
      <w:numFmt w:val="bullet"/>
      <w:lvlText w:val="•"/>
      <w:lvlJc w:val="left"/>
      <w:pPr>
        <w:tabs>
          <w:tab w:val="num" w:pos="2880"/>
        </w:tabs>
        <w:ind w:left="2880" w:hanging="360"/>
      </w:pPr>
      <w:rPr>
        <w:rFonts w:ascii="Times New Roman" w:hAnsi="Times New Roman" w:hint="default"/>
      </w:rPr>
    </w:lvl>
    <w:lvl w:ilvl="4" w:tplc="00FC371C" w:tentative="1">
      <w:start w:val="1"/>
      <w:numFmt w:val="bullet"/>
      <w:lvlText w:val="•"/>
      <w:lvlJc w:val="left"/>
      <w:pPr>
        <w:tabs>
          <w:tab w:val="num" w:pos="3600"/>
        </w:tabs>
        <w:ind w:left="3600" w:hanging="360"/>
      </w:pPr>
      <w:rPr>
        <w:rFonts w:ascii="Times New Roman" w:hAnsi="Times New Roman" w:hint="default"/>
      </w:rPr>
    </w:lvl>
    <w:lvl w:ilvl="5" w:tplc="7E18F31E" w:tentative="1">
      <w:start w:val="1"/>
      <w:numFmt w:val="bullet"/>
      <w:lvlText w:val="•"/>
      <w:lvlJc w:val="left"/>
      <w:pPr>
        <w:tabs>
          <w:tab w:val="num" w:pos="4320"/>
        </w:tabs>
        <w:ind w:left="4320" w:hanging="360"/>
      </w:pPr>
      <w:rPr>
        <w:rFonts w:ascii="Times New Roman" w:hAnsi="Times New Roman" w:hint="default"/>
      </w:rPr>
    </w:lvl>
    <w:lvl w:ilvl="6" w:tplc="912CD5AE" w:tentative="1">
      <w:start w:val="1"/>
      <w:numFmt w:val="bullet"/>
      <w:lvlText w:val="•"/>
      <w:lvlJc w:val="left"/>
      <w:pPr>
        <w:tabs>
          <w:tab w:val="num" w:pos="5040"/>
        </w:tabs>
        <w:ind w:left="5040" w:hanging="360"/>
      </w:pPr>
      <w:rPr>
        <w:rFonts w:ascii="Times New Roman" w:hAnsi="Times New Roman" w:hint="default"/>
      </w:rPr>
    </w:lvl>
    <w:lvl w:ilvl="7" w:tplc="20E8B1A6" w:tentative="1">
      <w:start w:val="1"/>
      <w:numFmt w:val="bullet"/>
      <w:lvlText w:val="•"/>
      <w:lvlJc w:val="left"/>
      <w:pPr>
        <w:tabs>
          <w:tab w:val="num" w:pos="5760"/>
        </w:tabs>
        <w:ind w:left="5760" w:hanging="360"/>
      </w:pPr>
      <w:rPr>
        <w:rFonts w:ascii="Times New Roman" w:hAnsi="Times New Roman" w:hint="default"/>
      </w:rPr>
    </w:lvl>
    <w:lvl w:ilvl="8" w:tplc="B8424D5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78936141"/>
    <w:multiLevelType w:val="hybridMultilevel"/>
    <w:tmpl w:val="95DED7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C0F2B7F"/>
    <w:multiLevelType w:val="hybridMultilevel"/>
    <w:tmpl w:val="BC2A35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8650220">
    <w:abstractNumId w:val="2"/>
  </w:num>
  <w:num w:numId="2" w16cid:durableId="682705641">
    <w:abstractNumId w:val="1"/>
  </w:num>
  <w:num w:numId="3" w16cid:durableId="1521629177">
    <w:abstractNumId w:val="3"/>
  </w:num>
  <w:num w:numId="4" w16cid:durableId="446892786">
    <w:abstractNumId w:val="0"/>
  </w:num>
  <w:num w:numId="5" w16cid:durableId="1063917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4A"/>
    <w:rsid w:val="00006DBD"/>
    <w:rsid w:val="00022E8F"/>
    <w:rsid w:val="000264FE"/>
    <w:rsid w:val="0004702A"/>
    <w:rsid w:val="000507A6"/>
    <w:rsid w:val="000B6C9F"/>
    <w:rsid w:val="000E1807"/>
    <w:rsid w:val="000F3743"/>
    <w:rsid w:val="00100223"/>
    <w:rsid w:val="00101D10"/>
    <w:rsid w:val="001033B9"/>
    <w:rsid w:val="001159C2"/>
    <w:rsid w:val="0014266F"/>
    <w:rsid w:val="001607C1"/>
    <w:rsid w:val="00185B3E"/>
    <w:rsid w:val="0019234B"/>
    <w:rsid w:val="001D283B"/>
    <w:rsid w:val="001F2CE0"/>
    <w:rsid w:val="00200429"/>
    <w:rsid w:val="002369A0"/>
    <w:rsid w:val="0025029F"/>
    <w:rsid w:val="00260EE3"/>
    <w:rsid w:val="00261F2C"/>
    <w:rsid w:val="00267C18"/>
    <w:rsid w:val="002A2B0A"/>
    <w:rsid w:val="002D1DD8"/>
    <w:rsid w:val="002E4746"/>
    <w:rsid w:val="002F67BA"/>
    <w:rsid w:val="002F7619"/>
    <w:rsid w:val="00342B36"/>
    <w:rsid w:val="00347EE2"/>
    <w:rsid w:val="003627D1"/>
    <w:rsid w:val="003904B8"/>
    <w:rsid w:val="003A3EB5"/>
    <w:rsid w:val="003A4BD8"/>
    <w:rsid w:val="003A6E6F"/>
    <w:rsid w:val="003B6B8F"/>
    <w:rsid w:val="0040220F"/>
    <w:rsid w:val="00424BF0"/>
    <w:rsid w:val="00424D2C"/>
    <w:rsid w:val="00425C16"/>
    <w:rsid w:val="00427C7D"/>
    <w:rsid w:val="004313CA"/>
    <w:rsid w:val="00444990"/>
    <w:rsid w:val="0046576F"/>
    <w:rsid w:val="0049733D"/>
    <w:rsid w:val="004A0D61"/>
    <w:rsid w:val="004B2113"/>
    <w:rsid w:val="004B3855"/>
    <w:rsid w:val="004B48C3"/>
    <w:rsid w:val="004C56C7"/>
    <w:rsid w:val="004F713B"/>
    <w:rsid w:val="00522684"/>
    <w:rsid w:val="00523D74"/>
    <w:rsid w:val="0053690A"/>
    <w:rsid w:val="0054284C"/>
    <w:rsid w:val="00550362"/>
    <w:rsid w:val="00551AB2"/>
    <w:rsid w:val="00556971"/>
    <w:rsid w:val="00576EF7"/>
    <w:rsid w:val="0058602B"/>
    <w:rsid w:val="00594F97"/>
    <w:rsid w:val="005A06B5"/>
    <w:rsid w:val="005A1413"/>
    <w:rsid w:val="005A395B"/>
    <w:rsid w:val="005A7A35"/>
    <w:rsid w:val="005C042D"/>
    <w:rsid w:val="005D51CE"/>
    <w:rsid w:val="005E0334"/>
    <w:rsid w:val="005F215D"/>
    <w:rsid w:val="00602661"/>
    <w:rsid w:val="006223DF"/>
    <w:rsid w:val="00635765"/>
    <w:rsid w:val="006422B8"/>
    <w:rsid w:val="00666B5B"/>
    <w:rsid w:val="006702C3"/>
    <w:rsid w:val="00683A2F"/>
    <w:rsid w:val="006A4606"/>
    <w:rsid w:val="006A7CBD"/>
    <w:rsid w:val="006E5704"/>
    <w:rsid w:val="00730484"/>
    <w:rsid w:val="00734A4D"/>
    <w:rsid w:val="00754C4E"/>
    <w:rsid w:val="00767F01"/>
    <w:rsid w:val="00772273"/>
    <w:rsid w:val="007B75C0"/>
    <w:rsid w:val="007D21B1"/>
    <w:rsid w:val="007D472F"/>
    <w:rsid w:val="007E5D89"/>
    <w:rsid w:val="007F67DC"/>
    <w:rsid w:val="007F7CF2"/>
    <w:rsid w:val="00802CDC"/>
    <w:rsid w:val="00806025"/>
    <w:rsid w:val="008351AD"/>
    <w:rsid w:val="00837D07"/>
    <w:rsid w:val="00873C76"/>
    <w:rsid w:val="008C0964"/>
    <w:rsid w:val="008D073A"/>
    <w:rsid w:val="008D7FE1"/>
    <w:rsid w:val="008E05FB"/>
    <w:rsid w:val="008E0961"/>
    <w:rsid w:val="009034CE"/>
    <w:rsid w:val="009164C0"/>
    <w:rsid w:val="00917C1F"/>
    <w:rsid w:val="009202EC"/>
    <w:rsid w:val="00965D4D"/>
    <w:rsid w:val="009A704D"/>
    <w:rsid w:val="009C4B5B"/>
    <w:rsid w:val="009D53FD"/>
    <w:rsid w:val="00A00AAA"/>
    <w:rsid w:val="00A034CD"/>
    <w:rsid w:val="00A262D0"/>
    <w:rsid w:val="00A276AB"/>
    <w:rsid w:val="00A5799E"/>
    <w:rsid w:val="00A667A4"/>
    <w:rsid w:val="00A70A84"/>
    <w:rsid w:val="00A75257"/>
    <w:rsid w:val="00A77826"/>
    <w:rsid w:val="00AC0DE0"/>
    <w:rsid w:val="00AC18BB"/>
    <w:rsid w:val="00AF7E1E"/>
    <w:rsid w:val="00B34862"/>
    <w:rsid w:val="00B45127"/>
    <w:rsid w:val="00B82540"/>
    <w:rsid w:val="00B8624A"/>
    <w:rsid w:val="00B971CA"/>
    <w:rsid w:val="00BB1EFB"/>
    <w:rsid w:val="00BB69F4"/>
    <w:rsid w:val="00BE75C0"/>
    <w:rsid w:val="00C15B38"/>
    <w:rsid w:val="00C41AFE"/>
    <w:rsid w:val="00C55116"/>
    <w:rsid w:val="00C62688"/>
    <w:rsid w:val="00C73A5C"/>
    <w:rsid w:val="00C74ADB"/>
    <w:rsid w:val="00C81BC4"/>
    <w:rsid w:val="00C87221"/>
    <w:rsid w:val="00CA0D40"/>
    <w:rsid w:val="00CA5949"/>
    <w:rsid w:val="00CB688C"/>
    <w:rsid w:val="00CE068C"/>
    <w:rsid w:val="00CE1E0C"/>
    <w:rsid w:val="00D1435E"/>
    <w:rsid w:val="00D3351A"/>
    <w:rsid w:val="00D549DC"/>
    <w:rsid w:val="00D5556F"/>
    <w:rsid w:val="00D632EA"/>
    <w:rsid w:val="00D82F85"/>
    <w:rsid w:val="00DA162C"/>
    <w:rsid w:val="00DA6834"/>
    <w:rsid w:val="00DB6BDC"/>
    <w:rsid w:val="00DE131D"/>
    <w:rsid w:val="00DE1969"/>
    <w:rsid w:val="00E042B0"/>
    <w:rsid w:val="00E146DE"/>
    <w:rsid w:val="00E173F1"/>
    <w:rsid w:val="00E30FA1"/>
    <w:rsid w:val="00E9571D"/>
    <w:rsid w:val="00EA1D1E"/>
    <w:rsid w:val="00EB30B0"/>
    <w:rsid w:val="00EC6C7F"/>
    <w:rsid w:val="00EC746A"/>
    <w:rsid w:val="00F14307"/>
    <w:rsid w:val="00F21512"/>
    <w:rsid w:val="00F45B10"/>
    <w:rsid w:val="00F54050"/>
    <w:rsid w:val="00F56494"/>
    <w:rsid w:val="00F5772E"/>
    <w:rsid w:val="00F61157"/>
    <w:rsid w:val="00F74638"/>
    <w:rsid w:val="00F77FC2"/>
    <w:rsid w:val="00FA205F"/>
    <w:rsid w:val="00FB23D3"/>
    <w:rsid w:val="00FE3742"/>
    <w:rsid w:val="00FF0DC1"/>
    <w:rsid w:val="00FF0F27"/>
    <w:rsid w:val="00FF4CE7"/>
    <w:rsid w:val="00FF6C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C9E0B50"/>
  <w15:chartTrackingRefBased/>
  <w15:docId w15:val="{F61000B7-85AE-4585-BD54-49F9CB2D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86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24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24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24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8624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24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8624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24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24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24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24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24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24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8624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8624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8624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8624A"/>
    <w:rPr>
      <w:rFonts w:eastAsiaTheme="majorEastAsia" w:cstheme="majorBidi"/>
      <w:color w:val="272727" w:themeColor="text1" w:themeTint="D8"/>
    </w:rPr>
  </w:style>
  <w:style w:type="paragraph" w:styleId="Titolo">
    <w:name w:val="Title"/>
    <w:basedOn w:val="Normale"/>
    <w:next w:val="Normale"/>
    <w:link w:val="TitoloCarattere"/>
    <w:uiPriority w:val="10"/>
    <w:qFormat/>
    <w:rsid w:val="00B86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24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24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24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24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24A"/>
    <w:rPr>
      <w:i/>
      <w:iCs/>
      <w:color w:val="404040" w:themeColor="text1" w:themeTint="BF"/>
    </w:rPr>
  </w:style>
  <w:style w:type="paragraph" w:styleId="Paragrafoelenco">
    <w:name w:val="List Paragraph"/>
    <w:basedOn w:val="Normale"/>
    <w:uiPriority w:val="34"/>
    <w:qFormat/>
    <w:rsid w:val="00B8624A"/>
    <w:pPr>
      <w:ind w:left="720"/>
      <w:contextualSpacing/>
    </w:pPr>
  </w:style>
  <w:style w:type="character" w:styleId="Enfasiintensa">
    <w:name w:val="Intense Emphasis"/>
    <w:basedOn w:val="Carpredefinitoparagrafo"/>
    <w:uiPriority w:val="21"/>
    <w:qFormat/>
    <w:rsid w:val="00B8624A"/>
    <w:rPr>
      <w:i/>
      <w:iCs/>
      <w:color w:val="0F4761" w:themeColor="accent1" w:themeShade="BF"/>
    </w:rPr>
  </w:style>
  <w:style w:type="paragraph" w:styleId="Citazioneintensa">
    <w:name w:val="Intense Quote"/>
    <w:basedOn w:val="Normale"/>
    <w:next w:val="Normale"/>
    <w:link w:val="CitazioneintensaCarattere"/>
    <w:uiPriority w:val="30"/>
    <w:qFormat/>
    <w:rsid w:val="00B86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24A"/>
    <w:rPr>
      <w:i/>
      <w:iCs/>
      <w:color w:val="0F4761" w:themeColor="accent1" w:themeShade="BF"/>
    </w:rPr>
  </w:style>
  <w:style w:type="character" w:styleId="Riferimentointenso">
    <w:name w:val="Intense Reference"/>
    <w:basedOn w:val="Carpredefinitoparagrafo"/>
    <w:uiPriority w:val="32"/>
    <w:qFormat/>
    <w:rsid w:val="00B8624A"/>
    <w:rPr>
      <w:b/>
      <w:bCs/>
      <w:smallCaps/>
      <w:color w:val="0F4761" w:themeColor="accent1" w:themeShade="BF"/>
      <w:spacing w:val="5"/>
    </w:rPr>
  </w:style>
  <w:style w:type="paragraph" w:styleId="Didascalia">
    <w:name w:val="caption"/>
    <w:basedOn w:val="Normale"/>
    <w:next w:val="Normale"/>
    <w:uiPriority w:val="35"/>
    <w:unhideWhenUsed/>
    <w:qFormat/>
    <w:rsid w:val="00AC18BB"/>
    <w:pPr>
      <w:spacing w:after="200" w:line="240" w:lineRule="auto"/>
    </w:pPr>
    <w:rPr>
      <w:i/>
      <w:iCs/>
      <w:color w:val="0E2841" w:themeColor="text2"/>
      <w:sz w:val="18"/>
      <w:szCs w:val="18"/>
    </w:rPr>
  </w:style>
  <w:style w:type="paragraph" w:styleId="NormaleWeb">
    <w:name w:val="Normal (Web)"/>
    <w:basedOn w:val="Normale"/>
    <w:uiPriority w:val="99"/>
    <w:semiHidden/>
    <w:unhideWhenUsed/>
    <w:rsid w:val="00576EF7"/>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table" w:styleId="Grigliatabella">
    <w:name w:val="Table Grid"/>
    <w:basedOn w:val="Tabellanormale"/>
    <w:uiPriority w:val="39"/>
    <w:rsid w:val="00576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77">
      <w:bodyDiv w:val="1"/>
      <w:marLeft w:val="0"/>
      <w:marRight w:val="0"/>
      <w:marTop w:val="0"/>
      <w:marBottom w:val="0"/>
      <w:divBdr>
        <w:top w:val="none" w:sz="0" w:space="0" w:color="auto"/>
        <w:left w:val="none" w:sz="0" w:space="0" w:color="auto"/>
        <w:bottom w:val="none" w:sz="0" w:space="0" w:color="auto"/>
        <w:right w:val="none" w:sz="0" w:space="0" w:color="auto"/>
      </w:divBdr>
      <w:divsChild>
        <w:div w:id="434441854">
          <w:marLeft w:val="547"/>
          <w:marRight w:val="0"/>
          <w:marTop w:val="0"/>
          <w:marBottom w:val="0"/>
          <w:divBdr>
            <w:top w:val="none" w:sz="0" w:space="0" w:color="auto"/>
            <w:left w:val="none" w:sz="0" w:space="0" w:color="auto"/>
            <w:bottom w:val="none" w:sz="0" w:space="0" w:color="auto"/>
            <w:right w:val="none" w:sz="0" w:space="0" w:color="auto"/>
          </w:divBdr>
        </w:div>
        <w:div w:id="297881946">
          <w:marLeft w:val="547"/>
          <w:marRight w:val="0"/>
          <w:marTop w:val="0"/>
          <w:marBottom w:val="0"/>
          <w:divBdr>
            <w:top w:val="none" w:sz="0" w:space="0" w:color="auto"/>
            <w:left w:val="none" w:sz="0" w:space="0" w:color="auto"/>
            <w:bottom w:val="none" w:sz="0" w:space="0" w:color="auto"/>
            <w:right w:val="none" w:sz="0" w:space="0" w:color="auto"/>
          </w:divBdr>
        </w:div>
        <w:div w:id="92362511">
          <w:marLeft w:val="547"/>
          <w:marRight w:val="0"/>
          <w:marTop w:val="0"/>
          <w:marBottom w:val="0"/>
          <w:divBdr>
            <w:top w:val="none" w:sz="0" w:space="0" w:color="auto"/>
            <w:left w:val="none" w:sz="0" w:space="0" w:color="auto"/>
            <w:bottom w:val="none" w:sz="0" w:space="0" w:color="auto"/>
            <w:right w:val="none" w:sz="0" w:space="0" w:color="auto"/>
          </w:divBdr>
        </w:div>
        <w:div w:id="65417224">
          <w:marLeft w:val="547"/>
          <w:marRight w:val="0"/>
          <w:marTop w:val="0"/>
          <w:marBottom w:val="0"/>
          <w:divBdr>
            <w:top w:val="none" w:sz="0" w:space="0" w:color="auto"/>
            <w:left w:val="none" w:sz="0" w:space="0" w:color="auto"/>
            <w:bottom w:val="none" w:sz="0" w:space="0" w:color="auto"/>
            <w:right w:val="none" w:sz="0" w:space="0" w:color="auto"/>
          </w:divBdr>
        </w:div>
        <w:div w:id="2090882140">
          <w:marLeft w:val="547"/>
          <w:marRight w:val="0"/>
          <w:marTop w:val="0"/>
          <w:marBottom w:val="0"/>
          <w:divBdr>
            <w:top w:val="none" w:sz="0" w:space="0" w:color="auto"/>
            <w:left w:val="none" w:sz="0" w:space="0" w:color="auto"/>
            <w:bottom w:val="none" w:sz="0" w:space="0" w:color="auto"/>
            <w:right w:val="none" w:sz="0" w:space="0" w:color="auto"/>
          </w:divBdr>
        </w:div>
        <w:div w:id="546455316">
          <w:marLeft w:val="547"/>
          <w:marRight w:val="0"/>
          <w:marTop w:val="0"/>
          <w:marBottom w:val="0"/>
          <w:divBdr>
            <w:top w:val="none" w:sz="0" w:space="0" w:color="auto"/>
            <w:left w:val="none" w:sz="0" w:space="0" w:color="auto"/>
            <w:bottom w:val="none" w:sz="0" w:space="0" w:color="auto"/>
            <w:right w:val="none" w:sz="0" w:space="0" w:color="auto"/>
          </w:divBdr>
        </w:div>
      </w:divsChild>
    </w:div>
    <w:div w:id="135588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emf"/><Relationship Id="rId10"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EDB204-6C23-4CD5-8A64-DDD09ADFD8E9}"/>
</file>

<file path=customXml/itemProps2.xml><?xml version="1.0" encoding="utf-8"?>
<ds:datastoreItem xmlns:ds="http://schemas.openxmlformats.org/officeDocument/2006/customXml" ds:itemID="{3D89106C-7CA8-4F65-A198-CA4A588CA37D}">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C56C03BB-B8F9-4DDA-AEB1-84F416122E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1387</Words>
  <Characters>7907</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41</cp:revision>
  <dcterms:created xsi:type="dcterms:W3CDTF">2025-03-11T19:22:00Z</dcterms:created>
  <dcterms:modified xsi:type="dcterms:W3CDTF">2025-03-11T20:56:00Z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