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Luglio 2026  |  Fiscalita' e Amministrazione</w:t>
      </w:r>
    </w:p>
    <w:p/>
    <w:p>
      <w:pPr>
        <w:spacing w:after="120"/>
        <w:jc w:val="left"/>
      </w:pPr>
      <w:r>
        <w:rPr>
          <w:rFonts w:ascii="Calibri" w:hAnsi="Calibri"/>
          <w:b/>
          <w:color w:val="1F497D"/>
          <w:sz w:val="48"/>
        </w:rPr>
        <w:t>L'abbonamento a ChatGPT in nota spese:</w:t>
        <w:br/>
        <w:t>come si deduce e dove va in bilancio.</w:t>
      </w:r>
    </w:p>
    <w:p>
      <w:pPr>
        <w:spacing w:after="200"/>
        <w:jc w:val="left"/>
      </w:pPr>
      <w:r>
        <w:rPr>
          <w:rFonts w:ascii="Calibri" w:hAnsi="Calibri"/>
          <w:i/>
          <w:color w:val="2E74B5"/>
          <w:sz w:val="26"/>
        </w:rPr>
        <w:t>Migliaia di professionisti e dipendenti pagano ogni mese un abbonamento AI con la carta personale o aziendale. Pochi sanno come trattarli fiscalmente. Il tema e' semplice ma pieno di varianti che fanno la differenza: uso personale o aziendale, abbonamento individuale o piano business, software o servizio.</w:t>
      </w:r>
    </w:p>
    <w:p>
      <w:pPr>
        <w:spacing w:after="40" w:before="40"/>
        <w:pBdr>
          <w:bottom w:val="single" w:sz="6" w:space="1" w:color="1F497D"/>
        </w:pBdr>
      </w:pPr>
    </w:p>
    <w:p>
      <w:pPr>
        <w:spacing w:after="320"/>
        <w:jc w:val="left"/>
      </w:pPr>
      <w:r>
        <w:rPr>
          <w:rFonts w:ascii="Calibri" w:hAnsi="Calibri"/>
          <w:color w:val="808080"/>
          <w:sz w:val="18"/>
        </w:rPr>
        <w:t>A cura della Redazione Ratio  •  3 luglio 2026</w:t>
      </w:r>
    </w:p>
    <w:p>
      <w:pPr>
        <w:spacing w:after="160" w:line="320" w:lineRule="exact"/>
        <w:jc w:val="both"/>
      </w:pPr>
      <w:r>
        <w:rPr>
          <w:rFonts w:ascii="Calibri" w:hAnsi="Calibri"/>
          <w:sz w:val="22"/>
        </w:rPr>
        <w:t>Una consulente del lavoro con uno studio di quattro persone ha cominciato a usare Claude Pro a febbraio, pagando il canone mensile con la carta di credito personale. A maggio ha deciso di passare al piano aziendale, ha intestato l'abbonamento allo studio e ha iniziato ad addebitarlo in nota spese. Quando il suo studio ha chiuso il trimestre e ha consegnato i giustificativi al commercialista, quest'ultimo le ha fatto una domanda semplice: 'Lo usi solo tu o anche i collaboratori?'. Da quella domanda e' partita una conversazione che ha richiesto piu' tempo del previsto, perche' la risposta cambia la classificazione contabile, l'IVA e il regime di deducibilita'. La questione non e' complicata, ma richiede di guardare il caso specifico, non la categoria generica.</w:t>
      </w:r>
    </w:p>
    <w:p>
      <w:pPr>
        <w:spacing w:after="160" w:line="320" w:lineRule="exact"/>
        <w:jc w:val="both"/>
      </w:pPr>
      <w:r>
        <w:rPr>
          <w:rFonts w:ascii="Calibri" w:hAnsi="Calibri"/>
          <w:sz w:val="22"/>
        </w:rPr>
        <w:t>Il punto di partenza e' la natura giuridica dell'abbonamento AI. La stragrande maggioranza degli abbonamenti a strumenti come ChatGPT, Claude, Gemini o Copilot e' classificabile come acquisto di servizi digitali in abbonamento, tecnicamente 'fornitura di servizi prestati tramite mezzi elettronici' ai sensi della normativa IVA. Per le imprese e i professionisti residenti in Italia, questi acquisti da fornitori extra-UE come OpenAI o Anthropic rientrano nel meccanismo del reverse charge: l'IVA non compare nella fattura del fornitore estero, ma va autoassegnata e annotata dal committente italiano. Un errore frequente e' non applicare il reverse charge su questi pagamenti, trattandoli come se fossero esenti o fuori campo.</w:t>
      </w:r>
    </w:p>
    <w:p>
      <w:pPr>
        <w:spacing w:before="280" w:after="120"/>
      </w:pPr>
      <w:r>
        <w:rPr>
          <w:rFonts w:ascii="Calibri" w:hAnsi="Calibri"/>
          <w:b/>
          <w:color w:val="1F497D"/>
          <w:sz w:val="24"/>
        </w:rPr>
        <w:t>La deducibilita': tre scenari diversi</w:t>
      </w:r>
    </w:p>
    <w:p>
      <w:pPr>
        <w:spacing w:after="160" w:line="320" w:lineRule="exact"/>
        <w:jc w:val="both"/>
      </w:pPr>
      <w:r>
        <w:rPr>
          <w:rFonts w:ascii="Calibri" w:hAnsi="Calibri"/>
          <w:sz w:val="22"/>
        </w:rPr>
        <w:t>Il primo scenario e' l'abbonamento intestato all'azienda o allo studio, usato esclusivamente per l'attivita' professionale. In questo caso la deducibilita' e' piena, al 100%, come per qualsiasi altro acquisto di software o servizio strumentale all'attivita'. La classificazione contabile piu' corretta e' 'costi per servizi' o, se lo studio vuole tenere separati i costi di digitalizzazione, 'costi per software e licenze digitali'. La voce deve comunque essere documentata con la fattura del fornitore o la conferma di pagamento associata all'account aziendale. Per i piani business di OpenAI, Anthropic e Google, la fattura con i dati fiscali dell'azienda si ottiene dalla sezione fatturazione del portale: va scaricata e conservata.</w:t>
      </w:r>
    </w:p>
    <w:p>
      <w:pPr>
        <w:spacing w:after="160" w:line="320" w:lineRule="exact"/>
        <w:jc w:val="both"/>
      </w:pPr>
      <w:r>
        <w:rPr>
          <w:rFonts w:ascii="Calibri" w:hAnsi="Calibri"/>
          <w:sz w:val="22"/>
        </w:rPr>
        <w:t>Il secondo scenario e' l'abbonamento intestato al dipendente o al collaboratore, rimborsato dall'azienda tramite nota spese. Qui la deducibilita' e' in linea di principio possibile, ma l'inerenza va documentata in modo piu' robusto: serve una policy aziendale che autorizzi l'uso di strumenti AI personali per fini lavorativi, e il rimborso deve essere limitato alla quota di utilizzo professionale. Se il dipendente usa lo stesso abbonamento anche per scopi personali, la deducibilita' integrale e' contestabile. La soluzione piu' pulita, per le aziende con piu' utenti, e' il piano business intestato all'azienda, che consente di gestire gli accessi, avere un'unica fattura e applicare il reverse charge correttamente.</w:t>
      </w:r>
    </w:p>
    <w:p>
      <w:pPr>
        <w:spacing w:after="160" w:line="320" w:lineRule="exact"/>
        <w:jc w:val="both"/>
      </w:pPr>
      <w:r>
        <w:rPr>
          <w:rFonts w:ascii="Calibri" w:hAnsi="Calibri"/>
          <w:sz w:val="22"/>
        </w:rPr>
        <w:t>Il terzo scenario e' il professionista persona fisica in regime ordinario, che usa l'abbonamento AI per la propria attivita'. La deducibilita' e' al 100% se l'uso e' esclusivamente professionale, con la stessa logica del software di studio. Per i professionisti in regime forfettario, la deducibilita' analitica non si applica: i costi sono assorbiti dalla deduzione forfettaria prevista dal regime, e l'abbonamento AI non genera un beneficio fiscale aggiuntivo separato.</w:t>
      </w:r>
    </w:p>
    <w:p>
      <w:pPr>
        <w:spacing w:before="280" w:after="120"/>
      </w:pPr>
      <w:r>
        <w:rPr>
          <w:rFonts w:ascii="Calibri" w:hAnsi="Calibri"/>
          <w:b/>
          <w:color w:val="1F497D"/>
          <w:sz w:val="24"/>
        </w:rPr>
        <w:t>Il caso dei costi di formazione AI</w:t>
      </w:r>
    </w:p>
    <w:p>
      <w:pPr>
        <w:spacing w:after="160" w:line="320" w:lineRule="exact"/>
        <w:jc w:val="both"/>
      </w:pPr>
      <w:r>
        <w:rPr>
          <w:rFonts w:ascii="Calibri" w:hAnsi="Calibri"/>
          <w:sz w:val="22"/>
        </w:rPr>
        <w:t>Una questione che emerge spesso riguarda i corsi di formazione sull'AI: webinar, abbonamenti a piattaforme di apprendimento, partecipazione a eventi specializzati. Questi costi rientrano generalmente tra le spese di formazione del personale, deducibili al 100% se inerenti all'attivita'. Il nodo interpretativo piu' comune e' quando la formazione ha un contenuto misto, in parte professionale e in parte personale. Per i corsi certificati da enti accreditati, il problema non si pone: la finalita' professionale e' documentata dal programma. Per i corsi online acquistati individualmente, conservare il programma del corso e una nota interna che ne giustifichi la rilevanza per l'attivita' e' la misura minima per sostenere la deducibilita' in caso di verifica.</w:t>
      </w:r>
    </w:p>
    <w:p>
      <w:pPr>
        <w:spacing w:after="160" w:line="320" w:lineRule="exact"/>
        <w:jc w:val="both"/>
      </w:pPr>
      <w:r>
        <w:rPr>
          <w:rFonts w:ascii="Calibri" w:hAnsi="Calibri"/>
          <w:sz w:val="22"/>
        </w:rPr>
        <w:t>Sul lato IVA, una precisazione rilevante: i corsi di formazione online erogati da fornitori extra-UE, come molte piattaforme americane, rientrano anchessi nel reverse charge per i soggetti passivi IVA italiani. La scadenza di agosto per gli obblighi AI Act e il crescente controllo fiscale sulle transazioni digitali rendono questo un buon momento per fare un passaggio complessivo con il proprio commercialista su come sono stati trattati questi costi nell'ultimo anno e mezzo. Correggere adesso un'impostazione scorretta costa meno che farlo su contestazione.</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Agenzia delle Entrate — Circolare n. 36/E/2012 (trattamento IVA servizi elettronici)</w:t>
      </w:r>
    </w:p>
    <w:p>
      <w:pPr>
        <w:spacing w:after="40"/>
      </w:pPr>
      <w:r>
        <w:rPr>
          <w:rFonts w:ascii="Calibri" w:hAnsi="Calibri"/>
          <w:color w:val="606060"/>
          <w:sz w:val="17"/>
        </w:rPr>
        <w:t>• D.P.R. 26 ottobre 1972, n. 633 (IVA), articoli 7-sexies e 17 — reverse charge</w:t>
      </w:r>
    </w:p>
    <w:p>
      <w:pPr>
        <w:spacing w:after="40"/>
      </w:pPr>
      <w:r>
        <w:rPr>
          <w:rFonts w:ascii="Calibri" w:hAnsi="Calibri"/>
          <w:color w:val="606060"/>
          <w:sz w:val="17"/>
        </w:rPr>
        <w:t>• T.U.I.R. D.P.R. 917/1986, articoli 54 e 109 (deducibilita' costi professionisti e imprese)</w:t>
      </w:r>
    </w:p>
    <w:p>
      <w:pPr>
        <w:spacing w:after="40"/>
      </w:pPr>
      <w:r>
        <w:rPr>
          <w:rFonts w:ascii="Calibri" w:hAnsi="Calibri"/>
          <w:color w:val="606060"/>
          <w:sz w:val="17"/>
        </w:rPr>
        <w:t>• AgendaDigitale.eu — 'AI nelle aziende italiane: obblighi fiscali e compliance 2026'</w:t>
      </w:r>
    </w:p>
    <w:p>
      <w:pPr>
        <w:spacing w:after="40"/>
      </w:pPr>
      <w:r>
        <w:rPr>
          <w:rFonts w:ascii="Calibri" w:hAnsi="Calibri"/>
          <w:color w:val="606060"/>
          <w:sz w:val="17"/>
        </w:rPr>
        <w:t>• FiscoeTasse.com — 'Software in abbonamento SaaS: IVA e deducibilita' 2026'</w:t>
      </w:r>
    </w:p>
    <w:p>
      <w:pPr>
        <w:spacing w:after="40"/>
      </w:pPr>
      <w:r>
        <w:rPr>
          <w:rFonts w:ascii="Calibri" w:hAnsi="Calibri"/>
          <w:color w:val="606060"/>
          <w:sz w:val="17"/>
        </w:rPr>
        <w:t>• IlSole24Ore — 'Strumenti digitali e nota spese: cosa si deduce nel 2026'</w:t>
      </w:r>
    </w:p>
    <w:p>
      <w:pPr>
        <w:spacing w:after="40"/>
      </w:pPr>
      <w:r>
        <w:rPr>
          <w:rFonts w:ascii="Calibri" w:hAnsi="Calibri"/>
          <w:color w:val="606060"/>
          <w:sz w:val="17"/>
        </w:rPr>
        <w:t>• OpenAI Help Center — 'Billing and invoices for Teams and Enterprise'</w:t>
      </w:r>
    </w:p>
    <w:p>
      <w:pPr>
        <w:spacing w:after="40"/>
      </w:pPr>
      <w:r>
        <w:rPr>
          <w:rFonts w:ascii="Calibri" w:hAnsi="Calibri"/>
          <w:color w:val="606060"/>
          <w:sz w:val="17"/>
        </w:rPr>
        <w:t>• Anthropic — 'Claude for Business: billing and tax documentation'</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