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Normativa AI</w:t>
      </w:r>
    </w:p>
    <w:p/>
    <w:p>
      <w:pPr>
        <w:spacing w:after="120"/>
        <w:jc w:val="left"/>
      </w:pPr>
      <w:r>
        <w:rPr>
          <w:rFonts w:ascii="Calibri" w:hAnsi="Calibri"/>
          <w:b/>
          <w:color w:val="1F497D"/>
          <w:sz w:val="48"/>
        </w:rPr>
        <w:t>L'AI Act al 2 agosto:</w:t>
        <w:br/>
        <w:t>trenta giorni per non farsi trovare impreparati.</w:t>
      </w:r>
    </w:p>
    <w:p>
      <w:pPr>
        <w:spacing w:after="200"/>
        <w:jc w:val="left"/>
      </w:pPr>
      <w:r>
        <w:rPr>
          <w:rFonts w:ascii="Calibri" w:hAnsi="Calibri"/>
          <w:i/>
          <w:color w:val="2E74B5"/>
          <w:sz w:val="26"/>
        </w:rPr>
        <w:t>Dal 2 agosto 2026 scattano gli obblighi di trasparenza dell'articolo 50 dell'AI Act. Chi usa chatbot, genera contenuti con l'AI o tratta immagini sintetiche ha un mese per adeguarsi. Le sanzioni arrivano fino al 3% del fatturato. Ma la compliance e' piu' semplice di quanto sembri, se si sa dove guardare.</w:t>
      </w:r>
    </w:p>
    <w:p>
      <w:pPr>
        <w:spacing w:after="40" w:before="40"/>
        <w:pBdr>
          <w:bottom w:val="single" w:sz="6" w:space="1" w:color="1F497D"/>
        </w:pBdr>
      </w:pPr>
    </w:p>
    <w:p>
      <w:pPr>
        <w:spacing w:after="320"/>
        <w:jc w:val="left"/>
      </w:pPr>
      <w:r>
        <w:rPr>
          <w:rFonts w:ascii="Calibri" w:hAnsi="Calibri"/>
          <w:color w:val="808080"/>
          <w:sz w:val="18"/>
        </w:rPr>
        <w:t>A cura della Redazione Ratio  •  3 luglio 2026</w:t>
      </w:r>
    </w:p>
    <w:p>
      <w:pPr>
        <w:spacing w:after="160" w:line="320" w:lineRule="exact"/>
        <w:jc w:val="both"/>
      </w:pPr>
      <w:r>
        <w:rPr>
          <w:rFonts w:ascii="Calibri" w:hAnsi="Calibri"/>
          <w:sz w:val="22"/>
        </w:rPr>
        <w:t>Un'azienda di servizi del Nord Italia ha inserito sul proprio sito, a inizio anno, un assistente virtuale che risponde alle domande dei clienti sui prodotti, sugli orari e sulle procedure di reso. Il chatbot funziona bene, riduce il carico del servizio clienti e i responsabili sono soddisfatti. Nessuno si e' posto la domanda se il cliente sappia che sta parlando con un sistema automatico. Dal 2 agosto non sara' piu' una questione di buona pratica: sara' un obbligo di legge, e ignorarlo espone a sanzioni che non si recuperano facilmente.</w:t>
      </w:r>
    </w:p>
    <w:p>
      <w:pPr>
        <w:spacing w:after="160" w:line="320" w:lineRule="exact"/>
        <w:jc w:val="both"/>
      </w:pPr>
      <w:r>
        <w:rPr>
          <w:rFonts w:ascii="Calibri" w:hAnsi="Calibri"/>
          <w:sz w:val="22"/>
        </w:rPr>
        <w:t>L'articolo 50 del Regolamento UE 2024/1689, meglio noto come AI Act, definisce gli obblighi di trasparenza per alcune categorie specifiche di sistemi di intelligenza artificiale. Non si tratta degli obblighi piu' complessi del regolamento, quelli che riguardano i sistemi ad alto rischio e che richiedono mesi di documentazione tecnica. Si tratta di obblighi relativamente diretti, che si applicano a un numero molto piu' ampio di aziende, compresi studi professionali, PMI e qualsiasi organizzazione che utilizzi strumenti AI nei rapporti con l'esterno. Il limite di un mese non e' una data simbolica: le autorita' nazionali di vigilanza avranno i poteri sanzionatori pieni dal giorno stesso.</w:t>
      </w:r>
    </w:p>
    <w:p>
      <w:pPr>
        <w:spacing w:before="280" w:after="120"/>
      </w:pPr>
      <w:r>
        <w:rPr>
          <w:rFonts w:ascii="Calibri" w:hAnsi="Calibri"/>
          <w:b/>
          <w:color w:val="1F497D"/>
          <w:sz w:val="24"/>
        </w:rPr>
        <w:t>Cosa prescrive concretamente l'articolo 50</w:t>
      </w:r>
    </w:p>
    <w:p>
      <w:pPr>
        <w:spacing w:after="160" w:line="320" w:lineRule="exact"/>
        <w:jc w:val="both"/>
      </w:pPr>
      <w:r>
        <w:rPr>
          <w:rFonts w:ascii="Calibri" w:hAnsi="Calibri"/>
          <w:sz w:val="22"/>
        </w:rPr>
        <w:t>La norma si articola su quattro categorie di obblighi. La prima riguarda i sistemi conversazionali: qualsiasi chatbot, assistente virtuale o sistema che interagisce in modo automatico con persone fisiche deve rendersi riconoscibile come tale. L'utente deve sapere, prima o durante l'interazione, che sta dialogando con un'intelligenza artificiale e non con un essere umano. L'eccezione vale solo quando il contesto rende l'automatizzazione del tutto evidente, come nel caso di un risponditore telefonico che nessuno scambia per una persona reale.</w:t>
      </w:r>
    </w:p>
    <w:p>
      <w:pPr>
        <w:spacing w:after="160" w:line="320" w:lineRule="exact"/>
        <w:jc w:val="both"/>
      </w:pPr>
      <w:r>
        <w:rPr>
          <w:rFonts w:ascii="Calibri" w:hAnsi="Calibri"/>
          <w:sz w:val="22"/>
        </w:rPr>
        <w:t>La seconda categoria riguarda i contenuti sintetici: testi, immagini, audio e video generati o manipolati da sistemi AI devono essere marcati con un'etichetta tecnica leggibile automaticamente che ne consenta il riconoscimento. Non si tratta necessariamente di aggiungere una scritta visibile in ogni immagine: si tratta di incorporare metadati che i sistemi di rilevamento possano leggere. La terza riguarda i deepfake, cioe' i contenuti che rappresentano persone reali in situazioni o con dichiarazioni false: devono essere dichiarati esplicitamente come tali, sia con marcatura tecnica sia con avviso leggibile dall'utente. La quarta, piu' specifica, impone un'informativa preventiva alle persone fisiche quando vengono analizzate da sistemi di riconoscimento delle emozioni o di categorizzazione biometrica.</w:t>
      </w:r>
    </w:p>
    <w:p>
      <w:pPr>
        <w:spacing w:before="280" w:after="120"/>
      </w:pPr>
      <w:r>
        <w:rPr>
          <w:rFonts w:ascii="Calibri" w:hAnsi="Calibri"/>
          <w:b/>
          <w:color w:val="1F497D"/>
          <w:sz w:val="24"/>
        </w:rPr>
        <w:t>Chi si deve adeguare e in quanto tempo</w:t>
      </w:r>
    </w:p>
    <w:p>
      <w:pPr>
        <w:spacing w:after="160" w:line="320" w:lineRule="exact"/>
        <w:jc w:val="both"/>
      </w:pPr>
      <w:r>
        <w:rPr>
          <w:rFonts w:ascii="Calibri" w:hAnsi="Calibri"/>
          <w:sz w:val="22"/>
        </w:rPr>
        <w:t>Gli obblighi si applicano sia ai fornitori dei sistemi AI, cioe' a chi li costruisce e li commercializza, sia ai deployer, cioe' alle aziende che li utilizzano nell'esercizio della propria attivita'. Un'impresa che acquista un chatbot da un fornitore e lo installa sul proprio sito e' un deployer: ha l'obbligo di assicurarsi che il sistema rispetti i requisiti di trasparenza, indipendentemente da quanto ha fatto il fornitore. Se il fornitore non ha previsto la dichiarazione automatica, tocca al deployer aggiungerla. Questo significa che la verifica va fatta ora, non dopo il 2 agosto.</w:t>
      </w:r>
    </w:p>
    <w:p>
      <w:pPr>
        <w:spacing w:after="160" w:line="320" w:lineRule="exact"/>
        <w:jc w:val="both"/>
      </w:pPr>
      <w:r>
        <w:rPr>
          <w:rFonts w:ascii="Calibri" w:hAnsi="Calibri"/>
          <w:sz w:val="22"/>
        </w:rPr>
        <w:t>Per uno studio professionale che usa un chatbot sul sito, la compliance si riduce quasi sempre a due passi: verificare che il sistema identifichi se stesso all'inizio dell'interazione (basta un messaggio di benvenuto che dica 'Sono un assistente automatico') e controllare che il fornitore del software abbia aggiornato le proprie condizioni di servizio per includere la conformita' all'AI Act. Per uno studio che genera contenuti con strumenti AI a uso interno, senza pubblicarli come prodotti aziendali, l'obbligo di marcatura non si attiva: si applica ai contenuti distribuiti al pubblico o a terzi, non all'uso privato degli strumenti.</w:t>
      </w:r>
    </w:p>
    <w:p>
      <w:pPr>
        <w:spacing w:after="160" w:line="320" w:lineRule="exact"/>
        <w:jc w:val="both"/>
      </w:pPr>
      <w:r>
        <w:rPr>
          <w:rFonts w:ascii="Calibri" w:hAnsi="Calibri"/>
          <w:sz w:val="22"/>
        </w:rPr>
        <w:t>Le sanzioni per la violazione degli obblighi dell'articolo 50 arrivano fino a 15 milioni di euro o al 3% del fatturato annuo globale, con applicazione dell'importo maggiore. Per una PMI con un fatturato di cinque milioni, il 3% significa 150.000 euro. La proporzionalita' si applica in linea teorica, ma il dato strutturale non cambia: trattarsi come un caso troppo piccolo per essere nel mirino non e' una strategia di gestione del rischio, e' un pregiudizio. Chi si adegua prima del 2 agosto non ha niente da temere. Chi aspetta di vedere cosa fanno gli altri si espone a una scadenza che non si sposta.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(AI Act), articolo 50 — EUR-Lex</w:t>
      </w:r>
    </w:p>
    <w:p>
      <w:pPr>
        <w:spacing w:after="40"/>
      </w:pPr>
      <w:r>
        <w:rPr>
          <w:rFonts w:ascii="Calibri" w:hAnsi="Calibri"/>
          <w:color w:val="606060"/>
          <w:sz w:val="17"/>
        </w:rPr>
        <w:t>• AgendaDigitale.eu — 'AI Act, dal 2 agosto scatta la trasparenza obbligatoria: cosa cambia (e per chi)'</w:t>
      </w:r>
    </w:p>
    <w:p>
      <w:pPr>
        <w:spacing w:after="40"/>
      </w:pPr>
      <w:r>
        <w:rPr>
          <w:rFonts w:ascii="Calibri" w:hAnsi="Calibri"/>
          <w:color w:val="606060"/>
          <w:sz w:val="17"/>
        </w:rPr>
        <w:t>• AgendaDigitale.eu — 'Obblighi di trasparenza AI Act: cosa devono fare le aziende dal 2 agosto 2026'</w:t>
      </w:r>
    </w:p>
    <w:p>
      <w:pPr>
        <w:spacing w:after="40"/>
      </w:pPr>
      <w:r>
        <w:rPr>
          <w:rFonts w:ascii="Calibri" w:hAnsi="Calibri"/>
          <w:color w:val="606060"/>
          <w:sz w:val="17"/>
        </w:rPr>
        <w:t>• UniverseIT.blog — 'AI Act 2 agosto 2026: cosa cambia per le imprese'</w:t>
      </w:r>
    </w:p>
    <w:p>
      <w:pPr>
        <w:spacing w:after="40"/>
      </w:pPr>
      <w:r>
        <w:rPr>
          <w:rFonts w:ascii="Calibri" w:hAnsi="Calibri"/>
          <w:color w:val="606060"/>
          <w:sz w:val="17"/>
        </w:rPr>
        <w:t>• TrueScreen.io — 'Articolo 50 AI Act: obblighi etichettatura dal 2 agosto 2026'</w:t>
      </w:r>
    </w:p>
    <w:p>
      <w:pPr>
        <w:spacing w:after="40"/>
      </w:pPr>
      <w:r>
        <w:rPr>
          <w:rFonts w:ascii="Calibri" w:hAnsi="Calibri"/>
          <w:color w:val="606060"/>
          <w:sz w:val="17"/>
        </w:rPr>
        <w:t>• StudioLegaleStefanelli.it — 'Trasparenza dell'AI: cosa impone l'art. 50 dell'AI Act e perche conta'</w:t>
      </w:r>
    </w:p>
    <w:p>
      <w:pPr>
        <w:spacing w:after="40"/>
      </w:pPr>
      <w:r>
        <w:rPr>
          <w:rFonts w:ascii="Calibri" w:hAnsi="Calibri"/>
          <w:color w:val="606060"/>
          <w:sz w:val="17"/>
        </w:rPr>
        <w:t>• Certifico.com — 'AI Act / obblighi per le imprese dal 02 agosto 2026'</w:t>
      </w:r>
    </w:p>
    <w:p>
      <w:pPr>
        <w:spacing w:after="40"/>
      </w:pPr>
      <w:r>
        <w:rPr>
          <w:rFonts w:ascii="Calibri" w:hAnsi="Calibri"/>
          <w:color w:val="606060"/>
          <w:sz w:val="17"/>
        </w:rPr>
        <w:t>• AIPIA.it — 'Enforcement AI Act: sanzioni e poteri dal 2 agosto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