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Luglio 2026  |  Professione e Strumenti AI</w:t>
      </w:r>
    </w:p>
    <w:p/>
    <w:p>
      <w:pPr>
        <w:spacing w:after="120"/>
        <w:jc w:val="left"/>
      </w:pPr>
      <w:r>
        <w:rPr>
          <w:rFonts w:ascii="Calibri" w:hAnsi="Calibri"/>
          <w:b/>
          <w:color w:val="1F497D"/>
          <w:sz w:val="48"/>
        </w:rPr>
        <w:t>Quando l'AI risponde al cliente al posto tuo:</w:t>
        <w:br/>
        <w:t>dove funziona e dove smette di funzionare.</w:t>
      </w:r>
    </w:p>
    <w:p>
      <w:pPr>
        <w:spacing w:after="200"/>
        <w:jc w:val="left"/>
      </w:pPr>
      <w:r>
        <w:rPr>
          <w:rFonts w:ascii="Calibri" w:hAnsi="Calibri"/>
          <w:i/>
          <w:color w:val="2E74B5"/>
          <w:sz w:val="26"/>
        </w:rPr>
        <w:t>Usare l'AI per preparare le risposte ai clienti riduce il tempo di lavoro in modo misurabile. Ma c'e' un confine tra usarla come strumento di supporto e delegarle la sostanza della consulenza. Quel confine non e' sempre dove sembra.</w:t>
      </w:r>
    </w:p>
    <w:p>
      <w:pPr>
        <w:spacing w:after="40" w:before="40"/>
        <w:pBdr>
          <w:bottom w:val="single" w:sz="6" w:space="1" w:color="1F497D"/>
        </w:pBdr>
      </w:pPr>
    </w:p>
    <w:p>
      <w:pPr>
        <w:spacing w:after="320"/>
        <w:jc w:val="left"/>
      </w:pPr>
      <w:r>
        <w:rPr>
          <w:rFonts w:ascii="Calibri" w:hAnsi="Calibri"/>
          <w:color w:val="808080"/>
          <w:sz w:val="18"/>
        </w:rPr>
        <w:t>A cura della Redazione Ratio  •  3 luglio 2026</w:t>
      </w:r>
    </w:p>
    <w:p>
      <w:pPr>
        <w:spacing w:after="160" w:line="320" w:lineRule="exact"/>
        <w:jc w:val="both"/>
      </w:pPr>
      <w:r>
        <w:rPr>
          <w:rFonts w:ascii="Calibri" w:hAnsi="Calibri"/>
          <w:sz w:val="22"/>
        </w:rPr>
        <w:t>Un avvocato tributarista racconta di aver introdotto l'abitudine di usare Claude per preparare le bozze delle risposte alle email piu' tecniche dei clienti. Il processo e' semplice: incolla l'email, aggiunge il contesto del caso e chiede una bozza di risposta. La bozza arriva in trenta secondi, lui la rilegge, la corregge dove necessario e la invia. Risparmia tra i quindici e i venti minuti per ogni email complessa. Con quaranta email a settimana, il risparmio cumulato e' rilevante. A marzo, pero', ha inviato una risposta basata su una bozza AI che conteneva un riferimento normativo leggermente sbagliato, corretto nella versione del decreto successiva. Il cliente aveva accettato la risposta senza notarlo. La questione era emersa settimane dopo, durante una verifica interna. Nessuna conseguenza concreta, ma una domanda che e' rimasta: dove si trova il punto in cui il risparmio di tempo diventa un rischio?</w:t>
      </w:r>
    </w:p>
    <w:p>
      <w:pPr>
        <w:spacing w:after="160" w:line="320" w:lineRule="exact"/>
        <w:jc w:val="both"/>
      </w:pPr>
      <w:r>
        <w:rPr>
          <w:rFonts w:ascii="Calibri" w:hAnsi="Calibri"/>
          <w:sz w:val="22"/>
        </w:rPr>
        <w:t>La risposta non e' nella tecnologia, ma nel tipo di contenuto che viene delegato. L'AI ha una caratteristica strutturale che non cambia indipendentemente dal modello o dalla versione: produce l'output piu' plausibile sulla base dei dati con cui e' stata addestrata. Questo significa che funziona molto bene su problemi che hanno una risposta consolidata, ampiamente documentata, coerente con la letteratura e con la prassi. Su problemi che richiedono interpretazione di normativa recente, valutazione di casi al limite, o giudizi basati su contesti specifici del cliente, la plausibilita' non coincide necessariamente con la correttezza.</w:t>
      </w:r>
    </w:p>
    <w:p>
      <w:pPr>
        <w:spacing w:before="280" w:after="120"/>
      </w:pPr>
      <w:r>
        <w:rPr>
          <w:rFonts w:ascii="Calibri" w:hAnsi="Calibri"/>
          <w:b/>
          <w:color w:val="1F497D"/>
          <w:sz w:val="24"/>
        </w:rPr>
        <w:t>La distinzione che conta: volume contro specificita'</w:t>
      </w:r>
    </w:p>
    <w:p>
      <w:pPr>
        <w:spacing w:after="160" w:line="320" w:lineRule="exact"/>
        <w:jc w:val="both"/>
      </w:pPr>
      <w:r>
        <w:rPr>
          <w:rFonts w:ascii="Calibri" w:hAnsi="Calibri"/>
          <w:sz w:val="22"/>
        </w:rPr>
        <w:t>La regola pratica piu' utile per i professionisti che usano l'AI nel lavoro con i clienti e' distinguere tra compiti ad alto volume e bassa specificita', dove l'AI eccelle, e compiti a basso volume e alta specificita', dove l'AI aiuta ma non puo' sostituire il giudizio professionale. Nel primo gruppo rientrano la sintesi di documenti lunghi, la strutturazione di risposte su quesiti ricorrenti, la predisposizione di checklist operative, la ricerca di precedenti su temi consolidati, la redazione di comunicazioni standard. In questi casi, la bozza AI riduce il lavoro di preparazione e libera il professionista per la verifica, che rimane necessaria ma richiede molto meno tempo.</w:t>
      </w:r>
    </w:p>
    <w:p>
      <w:pPr>
        <w:spacing w:after="160" w:line="320" w:lineRule="exact"/>
        <w:jc w:val="both"/>
      </w:pPr>
      <w:r>
        <w:rPr>
          <w:rFonts w:ascii="Calibri" w:hAnsi="Calibri"/>
          <w:sz w:val="22"/>
        </w:rPr>
        <w:t>Nel secondo gruppo rientrano le interpretazioni di norme recenti o oggetto di contenzioso, la valutazione di rischi specifici per il cliente, le risposte su situazioni al limite che richiedono conoscenza della storia del dossier, e qualsiasi contenuto che il cliente usera' per prendere decisioni con effetti giuridici o economici rilevanti. Su questi compiti, l'AI puo' fornire un punto di partenza utile, ma il professionista deve costruire la risposta finale con autonomia intellettuale reale, non limitarsi a correggere la forma di una bozza che non ha rivisto nella sostanza.</w:t>
      </w:r>
    </w:p>
    <w:p>
      <w:pPr>
        <w:spacing w:before="280" w:after="120"/>
      </w:pPr>
      <w:r>
        <w:rPr>
          <w:rFonts w:ascii="Calibri" w:hAnsi="Calibri"/>
          <w:b/>
          <w:color w:val="1F497D"/>
          <w:sz w:val="24"/>
        </w:rPr>
        <w:t>L'obbligo di informativa e la Legge 132/2025</w:t>
      </w:r>
    </w:p>
    <w:p>
      <w:pPr>
        <w:spacing w:after="160" w:line="320" w:lineRule="exact"/>
        <w:jc w:val="both"/>
      </w:pPr>
      <w:r>
        <w:rPr>
          <w:rFonts w:ascii="Calibri" w:hAnsi="Calibri"/>
          <w:sz w:val="22"/>
        </w:rPr>
        <w:t>C'e' anche una dimensione normativa che i professionisti devono tenere presente. La Legge 132/2025 ha introdotto, per chi esercita attivita' professionali regolamentate, un obbligo di informativa al cliente quando strumenti di intelligenza artificiale vengono utilizzati nell'elaborazione di pareri, perizie o consulenze. L'obbligo non impone di rivelare quale strumento si usa o come: impone di rendere il cliente consapevole che sistemi automatizzati hanno contribuito alla prestazione. La forma dell'informativa non e' ancora codificata in modo uniforme dai vari ordini professionali, ma il principio e' chiaro: il cliente ha il diritto di sapere.</w:t>
      </w:r>
    </w:p>
    <w:p>
      <w:pPr>
        <w:spacing w:after="160" w:line="320" w:lineRule="exact"/>
        <w:jc w:val="both"/>
      </w:pPr>
      <w:r>
        <w:rPr>
          <w:rFonts w:ascii="Calibri" w:hAnsi="Calibri"/>
          <w:sz w:val="22"/>
        </w:rPr>
        <w:t>In pratica, la maggior parte degli studi che usa l'AI in modo sistematico sta adottando una clausola standard nell'incarico professionale o nel preventivo, che specifica l'utilizzo di strumenti di supporto digitale per l'elaborazione delle informazioni. Questa clausola serve sia a rispettare l'obbligo normativo sia a gestire le aspettative: un cliente che sa che la bozza di risposta e' stata prodotta con l'AI e revisionata dal professionista ha un quadro corretto della prestazione che sta ricevendo.</w:t>
      </w:r>
    </w:p>
    <w:p>
      <w:pPr>
        <w:spacing w:after="160" w:line="320" w:lineRule="exact"/>
        <w:jc w:val="both"/>
      </w:pPr>
      <w:r>
        <w:rPr>
          <w:rFonts w:ascii="Calibri" w:hAnsi="Calibri"/>
          <w:sz w:val="22"/>
        </w:rPr>
        <w:t>Il punto centrale, alla fine, non riguarda la tecnologia. Un cliente paga il professionista per il giudizio, non per le ore. L'AI riduce le ore necessarie per preparare, sintetizzare e strutturare: questo e' un guadagno di efficienza reale che puo' anche giustificare tariffe piu' competitive. Ma la competenza che il cliente acquista, la capacita' di valutare la situazione specifica, identificare il rischio non evidente e scegliere la strada giusta tra opzioni equivalenti in apparenza, questa rimane integralmente a carico del professionista, con o senza AI. Quando l'AI risponde al posto del professionista, senza che il professionista abbia davvero esaminato la risposta, il cliente ha pagato per qualcosa che non ha ricevuto.</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Legge 9 settembre 2025, n. 132 (Legge sull'Intelligenza Artificiale), articoli sull'informativa professionale — Normattiva</w:t>
      </w:r>
    </w:p>
    <w:p>
      <w:pPr>
        <w:spacing w:after="40"/>
      </w:pPr>
      <w:r>
        <w:rPr>
          <w:rFonts w:ascii="Calibri" w:hAnsi="Calibri"/>
          <w:color w:val="606060"/>
          <w:sz w:val="17"/>
        </w:rPr>
        <w:t>• PaganiniBellini.it — 'Intelligenza artificiale e avvocati: quando l'errore diventa responsabilita' professionale'</w:t>
      </w:r>
    </w:p>
    <w:p>
      <w:pPr>
        <w:spacing w:after="40"/>
      </w:pPr>
      <w:r>
        <w:rPr>
          <w:rFonts w:ascii="Calibri" w:hAnsi="Calibri"/>
          <w:color w:val="606060"/>
          <w:sz w:val="17"/>
        </w:rPr>
        <w:t>• ItaliaOggi.it — 'AI per commercialisti, avvocati e consulenti aziendali: la specializzazione verticale'</w:t>
      </w:r>
    </w:p>
    <w:p>
      <w:pPr>
        <w:spacing w:after="40"/>
      </w:pPr>
      <w:r>
        <w:rPr>
          <w:rFonts w:ascii="Calibri" w:hAnsi="Calibri"/>
          <w:color w:val="606060"/>
          <w:sz w:val="17"/>
        </w:rPr>
        <w:t>• KTSFinance.com — 'Assicurazione professionale commercialisti e IA: 3 rischi del 730/2026'</w:t>
      </w:r>
    </w:p>
    <w:p>
      <w:pPr>
        <w:spacing w:after="40"/>
      </w:pPr>
      <w:r>
        <w:rPr>
          <w:rFonts w:ascii="Calibri" w:hAnsi="Calibri"/>
          <w:color w:val="606060"/>
          <w:sz w:val="17"/>
        </w:rPr>
        <w:t>• AiPerCommercialisti.it — 'Novita' e strumenti AI per la professione' (aggiornato giugno 2026)</w:t>
      </w:r>
    </w:p>
    <w:p>
      <w:pPr>
        <w:spacing w:after="40"/>
      </w:pPr>
      <w:r>
        <w:rPr>
          <w:rFonts w:ascii="Calibri" w:hAnsi="Calibri"/>
          <w:color w:val="606060"/>
          <w:sz w:val="17"/>
        </w:rPr>
        <w:t>• AtlasWorkspace.ai — 'Claude vs NotebookLM: Research Workflow Compared 2026'</w:t>
      </w:r>
    </w:p>
    <w:p>
      <w:pPr>
        <w:spacing w:after="40"/>
      </w:pPr>
      <w:r>
        <w:rPr>
          <w:rFonts w:ascii="Calibri" w:hAnsi="Calibri"/>
          <w:color w:val="606060"/>
          <w:sz w:val="17"/>
        </w:rPr>
        <w:t>• Deloitte Italy — 'State of AI in the Enterprise 2026' (rapporto completo)</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