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Compliance e Governance</w:t>
      </w:r>
    </w:p>
    <w:p/>
    <w:p>
      <w:pPr>
        <w:spacing w:after="120"/>
        <w:jc w:val="left"/>
      </w:pPr>
      <w:r>
        <w:rPr>
          <w:rFonts w:ascii="Calibri" w:hAnsi="Calibri"/>
          <w:b/>
          <w:color w:val="1F497D"/>
          <w:sz w:val="48"/>
        </w:rPr>
        <w:t>Il Modello 231 che non parla di AI:</w:t>
        <w:br/>
        <w:t>um rischio che quasi nessuno ha ancora calcolato.</w:t>
      </w:r>
    </w:p>
    <w:p>
      <w:pPr>
        <w:spacing w:after="200"/>
        <w:jc w:val="left"/>
      </w:pPr>
      <w:r>
        <w:rPr>
          <w:rFonts w:ascii="Calibri" w:hAnsi="Calibri"/>
          <w:i/>
          <w:color w:val="2E74B5"/>
          <w:sz w:val="26"/>
        </w:rPr>
        <w:t>La Legge 132/2025 ha introdotto nuove fattispecie penali legate all'uso di intelligenza artificiale. Chi ha aggiornato il Modello 231 dell'azienda negli ultimi anni ha quasi certamente un documento che non ne fa menzione. Per i commercialisti e i consulenti che assistono i clienti sulla compliance 231, questo e' un punto cieco da affrontare ora.</w:t>
      </w:r>
    </w:p>
    <w:p>
      <w:pPr>
        <w:spacing w:after="40" w:before="40"/>
        <w:pBdr>
          <w:bottom w:val="single" w:sz="6" w:space="1" w:color="1F497D"/>
        </w:pBdr>
      </w:pPr>
    </w:p>
    <w:p>
      <w:pPr>
        <w:spacing w:after="320"/>
        <w:jc w:val="left"/>
      </w:pPr>
      <w:r>
        <w:rPr>
          <w:rFonts w:ascii="Calibri" w:hAnsi="Calibri"/>
          <w:color w:val="808080"/>
          <w:sz w:val="18"/>
        </w:rPr>
        <w:t>A cura della Redazione Ratio  •  3 luglio 2026</w:t>
      </w:r>
    </w:p>
    <w:p>
      <w:pPr>
        <w:spacing w:after="160" w:line="320" w:lineRule="exact"/>
        <w:jc w:val="both"/>
      </w:pPr>
      <w:r>
        <w:rPr>
          <w:rFonts w:ascii="Calibri" w:hAnsi="Calibri"/>
          <w:sz w:val="22"/>
        </w:rPr>
        <w:t>Un membro dell'Organismo di Vigilanza di una societa' manifatturiera con circa sessanta dipendenti ha riletto il Modello di Organizzazione, Gestione e Controllo della propria azienda lo scorso aprile, in preparazione a una verifica annuale. L'ultimo aggiornamento risaliva al 2023. Il documento copriva i rischi classici del D.Lgs. 231/2001: corruzione, reati tributari, sicurezza sul lavoro, reati ambientali. Dell'intelligenza artificiale non c'era traccia, neppure come voce dell'analisi dei rischi. Il problema e' che nel frattempo l'azienda aveva introdotto un sistema di valutazione automatica dei fornitori basato su AI e un chatbot per la gestione delle segnalazioni interne. Entrambi erano operativi. Entrambi erano fuori dal perimetro del Modello.</w:t>
      </w:r>
    </w:p>
    <w:p>
      <w:pPr>
        <w:spacing w:after="160" w:line="320" w:lineRule="exact"/>
        <w:jc w:val="both"/>
      </w:pPr>
      <w:r>
        <w:rPr>
          <w:rFonts w:ascii="Calibri" w:hAnsi="Calibri"/>
          <w:sz w:val="22"/>
        </w:rPr>
        <w:t>La situazione e' molto diffusa. La maggior parte dei Modelli 231 in circolazione nelle PMI italiane e' stata redatta o aggiornata prima che l'AI entrasse nell'uso corrente aziendale. Dal settembre 2025, con l'entrata in vigore della Legge 132/2025, il quadro normativo e' cambiato in modo rilevante: la legge ha introdotto nell'ordinamento italiano le prime norme organiche sull'intelligenza artificiale, incluse nuove aggravanti penali e fattispecie di reato connesse all'utilizzo improprio di sistemi AI. Un Modello 231 che non mappi questi nuovi rischi non e' solo incompleto: potrebbe non coprire l'azienda in caso di contestazione.</w:t>
      </w:r>
    </w:p>
    <w:p>
      <w:pPr>
        <w:spacing w:before="280" w:after="120"/>
      </w:pPr>
      <w:r>
        <w:rPr>
          <w:rFonts w:ascii="Calibri" w:hAnsi="Calibri"/>
          <w:b/>
          <w:color w:val="1F497D"/>
          <w:sz w:val="24"/>
        </w:rPr>
        <w:t>Cosa introduce la Legge 132/2025 nel perimetro 231</w:t>
      </w:r>
    </w:p>
    <w:p>
      <w:pPr>
        <w:spacing w:after="160" w:line="320" w:lineRule="exact"/>
        <w:jc w:val="both"/>
      </w:pPr>
      <w:r>
        <w:rPr>
          <w:rFonts w:ascii="Calibri" w:hAnsi="Calibri"/>
          <w:sz w:val="22"/>
        </w:rPr>
        <w:t>La Legge 132/2025 agisce su due livelli. Sul primo, ha introdotto nuove aggravanti per reati esistenti quando commessi con il supporto di sistemi di intelligenza artificiale: frodi, manipolazioni di mercato, appropriazione indebita di dati. Il fatto che un sistema automatizzato abbia eseguito l'operazione non esime il soggetto apicale dalla responsabilita', ma puo' aggravare il trattamento sanzionatorio. Sul secondo livello, ha esteso esplicitamente l'applicabilita' del D.Lgs. 231/2001 agli illeciti commessi attraverso l'utilizzo doloso di sistemi AI da parte di soggetti in posizione apicale o sottoposti alla loro direzione.</w:t>
      </w:r>
    </w:p>
    <w:p>
      <w:pPr>
        <w:spacing w:after="160" w:line="320" w:lineRule="exact"/>
        <w:jc w:val="both"/>
      </w:pPr>
      <w:r>
        <w:rPr>
          <w:rFonts w:ascii="Calibri" w:hAnsi="Calibri"/>
          <w:sz w:val="22"/>
        </w:rPr>
        <w:t>Per le aziende che usano AI in processi decisionali rilevanti, come la selezione del personale, la valutazione del merito creditizio dei clienti, la gestione automatizzata dei prezzi o l'analisi delle segnalazioni di whistleblowing, il rischio non e' solo normativo in astratto. Se un sistema AI produce una decisione discriminatoria nella selezione del personale e nessun presidio del Modello 231 prevede supervisione su quel processo, la responsabilita' dell'ente puo' scattare sulla base del fatto che l'OdV non aveva gli strumenti per rilevare il rischio. La mancanza di un protocollo specifico per l'AI diventa, in questo scenario, una lacuna del sistema di controllo.</w:t>
      </w:r>
    </w:p>
    <w:p>
      <w:pPr>
        <w:spacing w:before="280" w:after="120"/>
      </w:pPr>
      <w:r>
        <w:rPr>
          <w:rFonts w:ascii="Calibri" w:hAnsi="Calibri"/>
          <w:b/>
          <w:color w:val="1F497D"/>
          <w:sz w:val="24"/>
        </w:rPr>
        <w:t>Cosa deve contenere un aggiornamento adeguato del MOG</w:t>
      </w:r>
    </w:p>
    <w:p>
      <w:pPr>
        <w:spacing w:after="160" w:line="320" w:lineRule="exact"/>
        <w:jc w:val="both"/>
      </w:pPr>
      <w:r>
        <w:rPr>
          <w:rFonts w:ascii="Calibri" w:hAnsi="Calibri"/>
          <w:sz w:val="22"/>
        </w:rPr>
        <w:t>Un aggiornamento del Modello 231 che tenga conto dell'AI dovrebbe partire da una mappatura dei sistemi intelligenti effettivamente in uso in azienda: non solo i grandi progetti dichiarati, ma anche gli strumenti adottati in modo autonomo dai singoli reparti, il cosiddetto 'shadow AI'. Per ognuno di questi sistemi va valutato il processo su cui incide, il tipo di decisioni che supporta o automatizza e se rientra nelle categorie di rischio elevato individuate dall'AI Act. Questa mappatura non richiede competenze tecniche avanzate: richiede che qualcuno in azienda abbia la responsabilita' di tenerla aggiornata.</w:t>
      </w:r>
    </w:p>
    <w:p>
      <w:pPr>
        <w:spacing w:after="160" w:line="320" w:lineRule="exact"/>
        <w:jc w:val="both"/>
      </w:pPr>
      <w:r>
        <w:rPr>
          <w:rFonts w:ascii="Calibri" w:hAnsi="Calibri"/>
          <w:sz w:val="22"/>
        </w:rPr>
        <w:t>Il Modello aggiornato dovrebbe poi definire i protocolli di supervisione umana sui processi in cui l'AI e' coinvolta, le modalita' di documentazione delle decisioni automatizzate e i criteri per la segnalazione di anomalie all'OdV. L'Organismo di Vigilanza, da parte sua, deve verificare periodicamente non solo che il Modello esista, ma che il registro dei sistemi AI sia aggiornato e che i presidi funzionino concretamente. Una policy sull'AI scritta e non applicata non protegge l'ente.</w:t>
      </w:r>
    </w:p>
    <w:p>
      <w:pPr>
        <w:spacing w:after="160" w:line="320" w:lineRule="exact"/>
        <w:jc w:val="both"/>
      </w:pPr>
      <w:r>
        <w:rPr>
          <w:rFonts w:ascii="Calibri" w:hAnsi="Calibri"/>
          <w:sz w:val="22"/>
        </w:rPr>
        <w:t>Per i commercialisti e i consulenti che assistono i clienti sulla compliance 231, questo e' un momento in cui il ruolo di advisor si amplia in modo naturale. Il cliente che chiede di aggiornare il Modello in vista di una verifica ha quasi certamente questa lacuna. Segnalargliela prima che diventi un problema concreto e' esattamente il tipo di valore aggiunto che distingue la consulenza dalla semplice redazione di documenti.</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D.Lgs. 8 giugno 2001, n. 231 — Normattiva</w:t>
      </w:r>
    </w:p>
    <w:p>
      <w:pPr>
        <w:spacing w:after="40"/>
      </w:pPr>
      <w:r>
        <w:rPr>
          <w:rFonts w:ascii="Calibri" w:hAnsi="Calibri"/>
          <w:color w:val="606060"/>
          <w:sz w:val="17"/>
        </w:rPr>
        <w:t>• Legge 9 settembre 2025, n. 132 (Legge sull'Intelligenza Artificiale) — Normattiva</w:t>
      </w:r>
    </w:p>
    <w:p>
      <w:pPr>
        <w:spacing w:after="40"/>
      </w:pPr>
      <w:r>
        <w:rPr>
          <w:rFonts w:ascii="Calibri" w:hAnsi="Calibri"/>
          <w:color w:val="606060"/>
          <w:sz w:val="17"/>
        </w:rPr>
        <w:t>• AteneoWeb.com — 'AI Act e D.Lgs. 231/2001: guida per commercialisti 2026'</w:t>
      </w:r>
    </w:p>
    <w:p>
      <w:pPr>
        <w:spacing w:after="40"/>
      </w:pPr>
      <w:r>
        <w:rPr>
          <w:rFonts w:ascii="Calibri" w:hAnsi="Calibri"/>
          <w:color w:val="606060"/>
          <w:sz w:val="17"/>
        </w:rPr>
        <w:t>• ValeRioCarlesimo.it — 'La compliance 231 e l'intelligenza artificiale: l'adattamento del MOG'</w:t>
      </w:r>
    </w:p>
    <w:p>
      <w:pPr>
        <w:spacing w:after="40"/>
      </w:pPr>
      <w:r>
        <w:rPr>
          <w:rFonts w:ascii="Calibri" w:hAnsi="Calibri"/>
          <w:color w:val="606060"/>
          <w:sz w:val="17"/>
        </w:rPr>
        <w:t>• Winple.it — 'Modello 231 e Intelligenza Artificiale: obblighi, rischi e aggiornamenti dopo la Legge 132/2025'</w:t>
      </w:r>
    </w:p>
    <w:p>
      <w:pPr>
        <w:spacing w:after="40"/>
      </w:pPr>
      <w:r>
        <w:rPr>
          <w:rFonts w:ascii="Calibri" w:hAnsi="Calibri"/>
          <w:color w:val="606060"/>
          <w:sz w:val="17"/>
        </w:rPr>
        <w:t>• Commercialisti.it — 'Cybersecurity e Modello 231: integrazione dei rischi informatici nella governance d'impresa' (maggio 2026)</w:t>
      </w:r>
    </w:p>
    <w:p>
      <w:pPr>
        <w:spacing w:after="40"/>
      </w:pPr>
      <w:r>
        <w:rPr>
          <w:rFonts w:ascii="Calibri" w:hAnsi="Calibri"/>
          <w:color w:val="606060"/>
          <w:sz w:val="17"/>
        </w:rPr>
        <w:t>• Paradigma.it — 'L'Intelligenza Artificiale applicata al sistema 231' (maggio 2026)</w:t>
      </w:r>
    </w:p>
    <w:p>
      <w:pPr>
        <w:spacing w:after="40"/>
      </w:pPr>
      <w:r>
        <w:rPr>
          <w:rFonts w:ascii="Calibri" w:hAnsi="Calibri"/>
          <w:color w:val="606060"/>
          <w:sz w:val="17"/>
        </w:rPr>
        <w:t>• Ransomtax.it — 'Mog 231 e intelligenza artificiale: cosa cambia con la Legge 132/2025'</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