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Luglio 2026  |  Professione e Responsabilita'</w:t>
      </w:r>
    </w:p>
    <w:p/>
    <w:p>
      <w:pPr>
        <w:spacing w:after="120"/>
        <w:jc w:val="left"/>
      </w:pPr>
      <w:r>
        <w:rPr>
          <w:rFonts w:ascii="Calibri" w:hAnsi="Calibri"/>
          <w:b/>
          <w:color w:val="1F497D"/>
          <w:sz w:val="48"/>
        </w:rPr>
        <w:t>Le citazioni inventate dall'AI in un atto giudiziario:</w:t>
        <w:br/>
        <w:t>cosa ha stabilito il Tribunale di Siracusa.</w:t>
      </w:r>
    </w:p>
    <w:p>
      <w:pPr>
        <w:spacing w:after="200"/>
        <w:jc w:val="left"/>
      </w:pPr>
      <w:r>
        <w:rPr>
          <w:rFonts w:ascii="Calibri" w:hAnsi="Calibri"/>
          <w:i/>
          <w:color w:val="2E74B5"/>
          <w:sz w:val="26"/>
        </w:rPr>
        <w:t>Con la sentenza del 20 febbraio 2026, il Tribunale di Siracusa ha qualificato come colpa grave l'inserimento in un atto difensivo di citazioni giurisprudenziali prodotte da un sistema AI e non verificate sulla fonte originale. Il principio vale per avvocati, ma si estende a tutti i professionisti che sottoscrivono documenti elaborati con il supporto dell'intelligenza artificiale.</w:t>
      </w:r>
    </w:p>
    <w:p>
      <w:pPr>
        <w:spacing w:after="40" w:before="40"/>
        <w:pBdr>
          <w:bottom w:val="single" w:sz="6" w:space="1" w:color="1F497D"/>
        </w:pBdr>
      </w:pPr>
    </w:p>
    <w:p>
      <w:pPr>
        <w:spacing w:after="320"/>
        <w:jc w:val="left"/>
      </w:pPr>
      <w:r>
        <w:rPr>
          <w:rFonts w:ascii="Calibri" w:hAnsi="Calibri"/>
          <w:color w:val="808080"/>
          <w:sz w:val="18"/>
        </w:rPr>
        <w:t>A cura della Redazione Ratio  •  10 luglio 2026</w:t>
      </w:r>
    </w:p>
    <w:p>
      <w:pPr>
        <w:spacing w:after="160" w:line="320" w:lineRule="exact"/>
        <w:jc w:val="both"/>
      </w:pPr>
      <w:r>
        <w:rPr>
          <w:rFonts w:ascii="Calibri" w:hAnsi="Calibri"/>
          <w:sz w:val="22"/>
        </w:rPr>
        <w:t>Nel gennaio 2026, un atto difensivo depositato davanti al Tribunale di Siracusa conteneva quattro citazioni di sentenze della Corte di Cassazione, complete di massime e brani riportati tra virgolette come citazioni letterali. Il giudice, insospettito da alcune formulazioni inusuali nella terminologia giuridica, ha verificato le sentenze indicate. Le citazioni non corrispondevano: alcuni passaggi non esistevano affatto, altri erano attribuiti a decisioni diverse da quelle indicate. L'avvocato aveva usato un sistema di intelligenza artificiale generativa per la ricerca giurisprudenziale, aveva copiato i risultati nell'atto senza verificarli sulle fonti primarie e aveva sottoscritto il documento. Con la sentenza del 20 febbraio 2026 il Tribunale di Siracusa ha qualificato quella condotta come colpa grave, aprendo un fronte che interessa l'intera classe professionale, non solo gli avvocati.</w:t>
      </w:r>
    </w:p>
    <w:p>
      <w:pPr>
        <w:spacing w:after="160" w:line="320" w:lineRule="exact"/>
        <w:jc w:val="both"/>
      </w:pPr>
      <w:r>
        <w:rPr>
          <w:rFonts w:ascii="Calibri" w:hAnsi="Calibri"/>
          <w:sz w:val="22"/>
        </w:rPr>
        <w:t>La decisione siracusana si inserisce in un filone giurisprudenziale che si sta consolidando a livello europeo e che la magistratura italiana ha cominciato ad affrontare con una linea interpretativa coerente. Il principio nella sua formulazione e' chiaro: la sottoscrizione di un atto professionale comporta la piena responsabilita' del professionista su tutto il contenuto, indipendentemente da quale strumento sia stato usato per produrlo. Quando il professionista usa un sistema AI per la ricerca o la redazione e inserisce i risultati in un documento firmato senza verifica autonoma, si configura un uso acritico dello strumento che la giurisprudenza qualifica come negligenza grave.</w:t>
      </w:r>
    </w:p>
    <w:p>
      <w:pPr>
        <w:spacing w:after="160" w:line="320" w:lineRule="exact"/>
        <w:jc w:val="both"/>
      </w:pPr>
      <w:r>
        <w:rPr>
          <w:rFonts w:ascii="Calibri" w:hAnsi="Calibri"/>
          <w:sz w:val="22"/>
        </w:rPr>
        <w:t>Il caso delle citazioni inventate dai sistemi AI, definito tecnicamente come allucinazione giurisprudenziale, non e' una rarità. I modelli di linguaggio producono testi plausibili, non testi verificati: quando vengono interrogati su casi giurisprudenziali specifici, specialmente su decisioni meno note o su materie con giurisprudenza frammentata, tendono a costruire citazioni verosimili ma non reali, combinando elementi di sentenze diverse o inventando passaggi che non esistono. Un professionista che riceve questa risposta e non la verifica sulla fonte primaria sta esponendo il proprio cliente e se stesso a un rischio che cresce con la complessita' del caso trattato.</w:t>
      </w:r>
    </w:p>
    <w:p>
      <w:pPr>
        <w:spacing w:before="280" w:after="120"/>
      </w:pPr>
      <w:r>
        <w:rPr>
          <w:rFonts w:ascii="Calibri" w:hAnsi="Calibri"/>
          <w:b/>
          <w:color w:val="1F497D"/>
          <w:sz w:val="24"/>
        </w:rPr>
        <w:t>Come cambia la valutazione della diligenza professionale</w:t>
      </w:r>
    </w:p>
    <w:p>
      <w:pPr>
        <w:spacing w:after="160" w:line="320" w:lineRule="exact"/>
        <w:jc w:val="both"/>
      </w:pPr>
      <w:r>
        <w:rPr>
          <w:rFonts w:ascii="Calibri" w:hAnsi="Calibri"/>
          <w:sz w:val="22"/>
        </w:rPr>
        <w:t>Per avvocati e commercialisti, la sentenza di Siracusa ha un'implicazione che va oltre il caso specifico delle citazioni. Il criterio della diligenza professionale qualificata, che l'ordinamento italiano richiede a chiunque eserciti una professione intellettuale regolamentata, include ora la verifica dell'adeguatezza degli strumenti usati e la revisione critica dei loro output. Non e' sufficiente dimostrare che uno strumento e' ampiamente diffuso o che altri professionisti lo utilizzano: serve dimostrare che il professionista ha applicato il proprio giudizio al contenuto prodotto dallo strumento, verificandone l'accuratezza nei punti critici. Per un commercialista che usa l'AI per strutturare un parere fiscale, questo significa controllare le aliquote sulla fonte ufficiale, verificare i riferimenti normativi su Normattiva o EUR-Lex e validare i calcoli sui sistemi certificati. Per un avvocato, significa riscontrare ogni citazione giurisprudenziale sul database originale prima di inserirla in un atto.</w:t>
      </w:r>
    </w:p>
    <w:p>
      <w:pPr>
        <w:spacing w:after="160" w:line="320" w:lineRule="exact"/>
        <w:jc w:val="both"/>
      </w:pPr>
      <w:r>
        <w:rPr>
          <w:rFonts w:ascii="Calibri" w:hAnsi="Calibri"/>
          <w:sz w:val="22"/>
        </w:rPr>
        <w:t>La Legge 132/2025, entrata in vigore nel settembre 2025, ha aggiunto un ulteriore livello normativo a questa questione. L'articolo dedicato alla responsabilita' dei professionisti che usano sistemi AI stabilisce che l'utilizzo di strumenti di intelligenza artificiale nella prestazione professionale non riduce la responsabilita' del professionista nei confronti del cliente: se l'output dell'AI e' errato e il professionista non lo ha verificato con la dovuta diligenza, risponde come se l'errore fosse interamente suo, perche' in senso giuridico lo e'. La responsabilita' non si trasferisce al fornitore dello strumento, salvo casi di difetto del prodotto che richiedono una prova separata e di difficile costruzione.</w:t>
      </w:r>
    </w:p>
    <w:p>
      <w:pPr>
        <w:spacing w:before="280" w:after="120"/>
      </w:pPr>
      <w:r>
        <w:rPr>
          <w:rFonts w:ascii="Calibri" w:hAnsi="Calibri"/>
          <w:b/>
          <w:color w:val="1F497D"/>
          <w:sz w:val="24"/>
        </w:rPr>
        <w:t>Costruire un metodo di revisione che regge in sede disciplinare</w:t>
      </w:r>
    </w:p>
    <w:p>
      <w:pPr>
        <w:spacing w:after="160" w:line="320" w:lineRule="exact"/>
        <w:jc w:val="both"/>
      </w:pPr>
      <w:r>
        <w:rPr>
          <w:rFonts w:ascii="Calibri" w:hAnsi="Calibri"/>
          <w:sz w:val="22"/>
        </w:rPr>
        <w:t>Gli studi che hanno affrontato piu' seriamente il tema della responsabilita' AI hanno adottato flussi di revisione che distinguono nettamente tra l'uso dell'AI come strumento di ricerca e l'uso dell'AI come fornitore di contenuto finale. Nel primo caso, il sistema suggerisce piste, identifica norme potenzialmente pertinenti e propone strutture argomentative: tutto questo viene poi verificato dal professionista sulle fonti primarie prima di essere incorporato nell'elaborato finale. Nel secondo caso, il professionista accetta il testo dell'AI senza revisione autonoma e lo incorpora direttamente nell'atto o nel parere: e' qui che si materializza il rischio identificato dalla sentenza di Siracusa. La distinzione non dipende dalla qualita' del modello usato: dipende dal processo di lavoro del professionista.</w:t>
      </w:r>
    </w:p>
    <w:p>
      <w:pPr>
        <w:spacing w:after="160" w:line="320" w:lineRule="exact"/>
        <w:jc w:val="both"/>
      </w:pPr>
      <w:r>
        <w:rPr>
          <w:rFonts w:ascii="Calibri" w:hAnsi="Calibri"/>
          <w:sz w:val="22"/>
        </w:rPr>
        <w:t>Alcune misure pratiche si sono affermate come standard tra i professionisti piu' attenti. Le citazioni giurisprudenziali vengono sistematicamente verificate su database certificati come Dejure, Italgiure o le banche dati degli ordini, prima di essere inserite in qualsiasi documento. I riferimenti normativi vengono confrontati con il testo ufficiale, non lasciati alla formulazione proposta dall'AI. I calcoli fiscali prodotti da strumenti generativi vengono validati sui parametri chiave, in particolare quando riguardano aliquote, scadenze o regole di competenza territoriale oggetto di modifiche recenti. Queste verifiche rallentano il processo rispetto a una delega totale all'AI, ma molto meno di quanto rallenti la gestione di un contenzioso con il cliente per un errore non rilevato in tempo.</w:t>
      </w:r>
    </w:p>
    <w:p>
      <w:pPr>
        <w:spacing w:after="160" w:line="320" w:lineRule="exact"/>
        <w:jc w:val="both"/>
      </w:pPr>
      <w:r>
        <w:rPr>
          <w:rFonts w:ascii="Calibri" w:hAnsi="Calibri"/>
          <w:sz w:val="22"/>
        </w:rPr>
        <w:t>La sentenza di Siracusa non chiede ai professionisti di smettere di usare l'AI. Chiede di usarla in modo compatibile con gli standard di diligenza che l'ordinamento ha sempre richiesto. Chi costruisce adesso un metodo di revisione documentato, con passaggi di verifica tracciabili, si mette in una posizione difensiva solida se la questione dovesse emergere in sede disciplinare o in un contenzioso con il cliente. Chi aspetta che il problema si manifesti nel proprio dossier avra' meno tempo e meno argomenti a disposizione.</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Legge 9 settembre 2025, n. 132 (Legge sull'Intelligenza Artificiale) -- Normattiva</w:t>
      </w:r>
    </w:p>
    <w:p>
      <w:pPr>
        <w:spacing w:after="40"/>
      </w:pPr>
      <w:r>
        <w:rPr>
          <w:rFonts w:ascii="Calibri" w:hAnsi="Calibri"/>
          <w:color w:val="606060"/>
          <w:sz w:val="17"/>
        </w:rPr>
        <w:t>• Tribunale di Siracusa, sentenza 20 febbraio 2026 (responsabilita' professionale e AI)</w:t>
      </w:r>
    </w:p>
    <w:p>
      <w:pPr>
        <w:spacing w:after="40"/>
      </w:pPr>
      <w:r>
        <w:rPr>
          <w:rFonts w:ascii="Calibri" w:hAnsi="Calibri"/>
          <w:color w:val="606060"/>
          <w:sz w:val="17"/>
        </w:rPr>
        <w:t>• PaganiniBellini.it -- 'Intelligenza artificiale e avvocati: quando l'errore diventa responsabilita' professionale'</w:t>
      </w:r>
    </w:p>
    <w:p>
      <w:pPr>
        <w:spacing w:after="40"/>
      </w:pPr>
      <w:r>
        <w:rPr>
          <w:rFonts w:ascii="Calibri" w:hAnsi="Calibri"/>
          <w:color w:val="606060"/>
          <w:sz w:val="17"/>
        </w:rPr>
        <w:t>• Altalex.com -- 'Responsabilita' del professionista per uso improvvido dell'IA' (aprile 2026)</w:t>
      </w:r>
    </w:p>
    <w:p>
      <w:pPr>
        <w:spacing w:after="40"/>
      </w:pPr>
      <w:r>
        <w:rPr>
          <w:rFonts w:ascii="Calibri" w:hAnsi="Calibri"/>
          <w:color w:val="606060"/>
          <w:sz w:val="17"/>
        </w:rPr>
        <w:t>• DirittoDellaInformazione.it -- 'AI e professione forense: quando il software sbaglia risponde l'avvocato'</w:t>
      </w:r>
    </w:p>
    <w:p>
      <w:pPr>
        <w:spacing w:after="40"/>
      </w:pPr>
      <w:r>
        <w:rPr>
          <w:rFonts w:ascii="Calibri" w:hAnsi="Calibri"/>
          <w:color w:val="606060"/>
          <w:sz w:val="17"/>
        </w:rPr>
        <w:t>• DirittoEGiustizia.it -- 'Chi risponde se l'AI sbaglia?'</w:t>
      </w:r>
    </w:p>
    <w:p>
      <w:pPr>
        <w:spacing w:after="40"/>
      </w:pPr>
      <w:r>
        <w:rPr>
          <w:rFonts w:ascii="Calibri" w:hAnsi="Calibri"/>
          <w:color w:val="606060"/>
          <w:sz w:val="17"/>
        </w:rPr>
        <w:t>• ConvieneOnline.it -- 'AI e avvocati: responsabilita' e colpa grave (sentenza 2026)'</w:t>
      </w:r>
    </w:p>
    <w:p>
      <w:pPr>
        <w:spacing w:after="40"/>
      </w:pPr>
      <w:r>
        <w:rPr>
          <w:rFonts w:ascii="Calibri" w:hAnsi="Calibri"/>
          <w:color w:val="606060"/>
          <w:sz w:val="17"/>
        </w:rPr>
        <w:t>• Regolamento UE 2024/1689 (AI Act), considerando 47 e articoli sulla responsabilita' -- EUR-Lex</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