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Professione e Strumenti</w:t>
      </w:r>
    </w:p>
    <w:p/>
    <w:p>
      <w:pPr>
        <w:spacing w:after="120"/>
        <w:jc w:val="left"/>
      </w:pPr>
      <w:r>
        <w:rPr>
          <w:rFonts w:ascii="Calibri" w:hAnsi="Calibri"/>
          <w:b/>
          <w:color w:val="1F497D"/>
          <w:sz w:val="48"/>
        </w:rPr>
        <w:t>Quando lo strumento sa la risposta ma non sa perché:</w:t>
        <w:br/>
        <w:t>i rischi dell’AI verticale negli studi professionali</w:t>
      </w:r>
    </w:p>
    <w:p>
      <w:pPr>
        <w:spacing w:after="200"/>
        <w:jc w:val="left"/>
      </w:pPr>
      <w:r>
        <w:rPr>
          <w:rFonts w:ascii="Calibri" w:hAnsi="Calibri"/>
          <w:i/>
          <w:color w:val="2E74B5"/>
          <w:sz w:val="26"/>
        </w:rPr>
        <w:t>Il 65% dei commercialisti italiani usa già strumenti AI. La questione non è l’adozione, ma quanto il professionista che firma conosce la logica di ciò che ha delegato.</w:t>
      </w:r>
    </w:p>
    <w:p>
      <w:pPr>
        <w:spacing w:after="40" w:before="40"/>
        <w:pBdr>
          <w:bottom w:val="single" w:sz="6" w:space="1" w:color="1F497D"/>
        </w:pBdr>
      </w:pPr>
    </w:p>
    <w:p>
      <w:pPr>
        <w:spacing w:after="320"/>
        <w:jc w:val="left"/>
      </w:pPr>
      <w:r>
        <w:rPr>
          <w:rFonts w:ascii="Calibri" w:hAnsi="Calibri"/>
          <w:color w:val="808080"/>
          <w:sz w:val="18"/>
        </w:rPr>
        <w:t>A cura della Redazione Ratio  •  15 maggio 2026</w:t>
      </w:r>
    </w:p>
    <w:p>
      <w:pPr>
        <w:spacing w:after="160" w:line="320" w:lineRule="exact"/>
        <w:jc w:val="both"/>
      </w:pPr>
      <w:r>
        <w:rPr>
          <w:rFonts w:ascii="Calibri" w:hAnsi="Calibri"/>
          <w:sz w:val="22"/>
        </w:rPr>
        <w:t>Sei un commercialista. Hai sottoscritto un abbonamento a uno strumento di intelligenza artificiale verticale, uno di quelli specializzati su normativa fiscale e contabilità italiana. Inserisci una domanda su come trattare una fattispecie IVA complessa, e in meno di dieci secondi ottieni una risposta strutturata, con riferimenti normativi e circolari dell’Agenzia delle Entrate. La risposta è quasi sempre corretta. Quasi. Il problema inizia quando sei così abituato alla correttezza che smetti di verificare i “quasi”.</w:t>
      </w:r>
    </w:p>
    <w:p>
      <w:pPr>
        <w:spacing w:after="160" w:line="320" w:lineRule="exact"/>
        <w:jc w:val="both"/>
      </w:pPr>
      <w:r>
        <w:rPr>
          <w:rFonts w:ascii="Calibri" w:hAnsi="Calibri"/>
          <w:sz w:val="22"/>
        </w:rPr>
        <w:t>A marzo 2026, l’Osservatorio Artificial Intelligence del Politecnico di Milano ha pubblicato dati che indicano che il 65% dei commercialisti italiani utilizza già strumenti di intelligenza artificiale nella propria attività professionale, con l’84% degli studi che percepisce un impatto positivo. Sono numeri che segnalano una transizione già in corso. Gli strumenti verticali per il settore, come Normo.ai o le suite sviluppate da provider specializzati con centinaia di studi clienti in tutta Italia, hanno trovato una base utente in tempi più rapidi di quanto ci si aspettasse.</w:t>
      </w:r>
    </w:p>
    <w:p>
      <w:pPr>
        <w:spacing w:before="280" w:after="120"/>
      </w:pPr>
      <w:r>
        <w:rPr>
          <w:rFonts w:ascii="Calibri" w:hAnsi="Calibri"/>
          <w:b/>
          <w:color w:val="1F497D"/>
          <w:sz w:val="24"/>
        </w:rPr>
        <w:t>Il problema della specializzazione senza trasparenza</w:t>
      </w:r>
    </w:p>
    <w:p>
      <w:pPr>
        <w:spacing w:after="160" w:line="320" w:lineRule="exact"/>
        <w:jc w:val="both"/>
      </w:pPr>
      <w:r>
        <w:rPr>
          <w:rFonts w:ascii="Calibri" w:hAnsi="Calibri"/>
          <w:sz w:val="22"/>
        </w:rPr>
        <w:t>Gli strumenti di AI verticale hanno un vantaggio evidente rispetto ai modelli generalisti: sono addestrati o ottimizzati su corpora specifici (normativa fiscale, circolari, prassi contabile italiana) e producono risposte più coerenti con il contesto professionale del paese. Hanno però un limite strutturale che vale la pena tenere presente: rispondono con sicurezza anche quando la fattispecie è al limite della loro base di conoscenza. Un modello generalista tende a esprimere incertezza di fronte a una domanda che non sa rispondere bene. Alcuni modelli verticali, ottimizzati per sembrare competenti nel loro dominio, possono produrre risposte plausibili su casi che non rientrano nei loro dati di addestramento.</w:t>
      </w:r>
    </w:p>
    <w:p>
      <w:pPr>
        <w:spacing w:after="160" w:line="320" w:lineRule="exact"/>
        <w:jc w:val="both"/>
      </w:pPr>
      <w:r>
        <w:rPr>
          <w:rFonts w:ascii="Calibri" w:hAnsi="Calibri"/>
          <w:sz w:val="22"/>
        </w:rPr>
        <w:t>Il commercialista che usa questi strumenti come supporto alla ricerca e alla prima bozza di risposta è in una posizione diversa da chi li usa come oracolo a cui affidare la risposta definitiva. La distinzione sembra ovvia, ma nella pratica quotidiana di uno studio sotto pressione di scadenze, la linea tra i due modi di usare uno strumento si assottiglia velocemente. Quando il tempo stringe e lo strumento ha dato ottimi risultati nelle ultime dieci domande, controllare l’undicesima con la stessa attenzione richiede uno sforzo consapevole che non tutti i team hanno la disciplina di mantenere.</w:t>
      </w:r>
    </w:p>
    <w:p>
      <w:pPr>
        <w:spacing w:before="280" w:after="120"/>
      </w:pPr>
      <w:r>
        <w:rPr>
          <w:rFonts w:ascii="Calibri" w:hAnsi="Calibri"/>
          <w:b/>
          <w:color w:val="1F497D"/>
          <w:sz w:val="24"/>
        </w:rPr>
        <w:t>La firma resta in capo al professionista</w:t>
      </w:r>
    </w:p>
    <w:p>
      <w:pPr>
        <w:spacing w:after="160" w:line="320" w:lineRule="exact"/>
        <w:jc w:val="both"/>
      </w:pPr>
      <w:r>
        <w:rPr>
          <w:rFonts w:ascii="Calibri" w:hAnsi="Calibri"/>
          <w:sz w:val="22"/>
        </w:rPr>
        <w:t>La Legge 132/2025, il testo italiano di disciplina dell’intelligenza artificiale entrato in vigore il 10 ottobre 2025, è esplicita sul punto della responsabilità professionale. Il documento firmato dal commercialista, dall’avvocato o dal consulente è quello del professionista, non dello strumento che ha aiutato a redigerlo. L’uso di un sistema AI non modifica l’imputabilità dell’errore, non costituisce un’attenuante riconosciuta, e non trasferisce la responsabilità al fornitore dello strumento, salvo ipotesi molto specifiche di difetto del prodotto.</w:t>
      </w:r>
    </w:p>
    <w:p>
      <w:pPr>
        <w:spacing w:after="160" w:line="320" w:lineRule="exact"/>
        <w:jc w:val="both"/>
      </w:pPr>
      <w:r>
        <w:rPr>
          <w:rFonts w:ascii="Calibri" w:hAnsi="Calibri"/>
          <w:sz w:val="22"/>
        </w:rPr>
        <w:t>Questo non significa che gli strumenti verticali siano da evitare: significa che l’uso professionale richiede una comprensione sufficiente della logica con cui questi strumenti ragionano. Sapere, per esempio, che un modello è stato aggiornato a una certa data e non incorpora le modifiche normative successive è già un’informazione che cambia il modo in cui si usa l’output. Sapere che su certi tipi di fattispecie il modello tende a citare la norma base senza considerare la prassi interpretativa più recente è un altro elemento che guida la revisione critica.</w:t>
      </w:r>
    </w:p>
    <w:p>
      <w:pPr>
        <w:spacing w:before="280" w:after="120"/>
      </w:pPr>
      <w:r>
        <w:rPr>
          <w:rFonts w:ascii="Calibri" w:hAnsi="Calibri"/>
          <w:b/>
          <w:color w:val="1F497D"/>
          <w:sz w:val="24"/>
        </w:rPr>
        <w:t>Come lavorarci in modo professionale</w:t>
      </w:r>
    </w:p>
    <w:p>
      <w:pPr>
        <w:spacing w:after="160" w:line="320" w:lineRule="exact"/>
        <w:jc w:val="both"/>
      </w:pPr>
      <w:r>
        <w:rPr>
          <w:rFonts w:ascii="Calibri" w:hAnsi="Calibri"/>
          <w:sz w:val="22"/>
        </w:rPr>
        <w:t>Gli studi che stanno usando questi strumenti con maggiore efficacia hanno in comune alcune pratiche. Definiscono in modo esplicito per quali tipi di quesiti usano lo strumento come supporto e per quali la risposta definitiva richiede comunque una verifica manuale sulle fonti primarie. Tengono traccia delle aree in cui lo strumento ha prodotto output da correggere, costruendo nel tempo una mappa dei suoi limiti specifici nel proprio contesto di lavoro. Formano i collaboratori più giovani non solo su come usare lo strumento, ma su come riconoscere quando dubitarne.</w:t>
      </w:r>
    </w:p>
    <w:p>
      <w:pPr>
        <w:spacing w:after="160" w:line="320" w:lineRule="exact"/>
        <w:jc w:val="both"/>
      </w:pPr>
      <w:r>
        <w:rPr>
          <w:rFonts w:ascii="Calibri" w:hAnsi="Calibri"/>
          <w:sz w:val="22"/>
        </w:rPr>
        <w:t>Il mercato degli strumenti verticali per studi professionali italiani si sta consolidando rapidamente. Diversi provider stanno sviluppando integrazioni con i principali software gestionali del settore, e alcuni offrono già funzionalità di audit trail che permettono di documentare le consultazioni effettuate con lo strumento. Questa documentazione non è solo utile per eventuali verifiche: è anche un modo per costruire consapevolezza interna su quanto e come il team si affida all’AI nel lavoro quotidiano.</w:t>
      </w:r>
    </w:p>
    <w:p>
      <w:pPr>
        <w:spacing w:after="160" w:line="320" w:lineRule="exact"/>
        <w:jc w:val="both"/>
      </w:pPr>
      <w:r>
        <w:rPr>
          <w:rFonts w:ascii="Calibri" w:hAnsi="Calibri"/>
          <w:sz w:val="22"/>
        </w:rPr>
        <w:t>Il commercialista che esce vincitore dalla transizione verso l’AI non è quello che usa più strumenti, ma quello che conosce abbastanza ogni strumento da sapere quando smettere di fidarsi di esso. Questa competenza non arriva dall’uso passivo: arriva dall’uso critico. Ogni volta che verifichi una risposta e la trovi corretta, stai anche validando il tuo modello mentale dello strumento. Ogni volta che la trovi scorretta, stai imparando qualcosa che nessun corso di formazione può darti allo stesso modo.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Osservatorio Artificial Intelligence, Politecnico di Milano — Rapporto 2026</w:t>
      </w:r>
    </w:p>
    <w:p>
      <w:pPr>
        <w:spacing w:after="40"/>
      </w:pPr>
      <w:r>
        <w:rPr>
          <w:rFonts w:ascii="Calibri" w:hAnsi="Calibri"/>
          <w:color w:val="606060"/>
          <w:sz w:val="17"/>
        </w:rPr>
        <w:t>• italiaoggi.it — “Intelligenza artificiale per commercialisti: perché la specializzazione verticale”</w:t>
      </w:r>
    </w:p>
    <w:p>
      <w:pPr>
        <w:spacing w:after="40"/>
      </w:pPr>
      <w:r>
        <w:rPr>
          <w:rFonts w:ascii="Calibri" w:hAnsi="Calibri"/>
          <w:color w:val="606060"/>
          <w:sz w:val="17"/>
        </w:rPr>
        <w:t>• fisco7.it — “Intelligenza artificiale negli studi professionali: riflessi fiscali e nuove responsabilità” (maggio 2026)</w:t>
      </w:r>
    </w:p>
    <w:p>
      <w:pPr>
        <w:spacing w:after="40"/>
      </w:pPr>
      <w:r>
        <w:rPr>
          <w:rFonts w:ascii="Calibri" w:hAnsi="Calibri"/>
          <w:color w:val="606060"/>
          <w:sz w:val="17"/>
        </w:rPr>
        <w:t>• normo.ai — Documentazione ufficiale del servizio</w:t>
      </w:r>
    </w:p>
    <w:p>
      <w:pPr>
        <w:spacing w:after="40"/>
      </w:pPr>
      <w:r>
        <w:rPr>
          <w:rFonts w:ascii="Calibri" w:hAnsi="Calibri"/>
          <w:color w:val="606060"/>
          <w:sz w:val="17"/>
        </w:rPr>
        <w:t>• Legge 132/2025 — Disciplina organica sull’intelligenza artificiale in Italia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