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Normativa e Compliance</w:t>
      </w:r>
    </w:p>
    <w:p/>
    <w:p>
      <w:pPr>
        <w:spacing w:after="120"/>
        <w:jc w:val="left"/>
      </w:pPr>
      <w:r>
        <w:rPr>
          <w:rFonts w:ascii="Calibri" w:hAnsi="Calibri"/>
          <w:b/>
          <w:color w:val="1F497D"/>
          <w:sz w:val="48"/>
        </w:rPr>
        <w:t>Il rinvio dell’AI Act non è un salvacondotto:</w:t>
        <w:br/>
        <w:t>cosa resta in piedi da agosto 2026</w:t>
      </w:r>
    </w:p>
    <w:p>
      <w:pPr>
        <w:spacing w:after="200"/>
        <w:jc w:val="left"/>
      </w:pPr>
      <w:r>
        <w:rPr>
          <w:rFonts w:ascii="Calibri" w:hAnsi="Calibri"/>
          <w:i/>
          <w:color w:val="2E74B5"/>
          <w:sz w:val="26"/>
        </w:rPr>
        <w:t>L’accordo del 7 maggio tra Parlamento e Consiglio UE ha spostato le scadenze per i sistemi ad alto rischio al 2027 e al 2028. Ma l’obbligo di formazione resta invariato, e agosto arriva comunque.</w:t>
      </w:r>
    </w:p>
    <w:p>
      <w:pPr>
        <w:spacing w:after="40" w:before="40"/>
        <w:pBdr>
          <w:bottom w:val="single" w:sz="6" w:space="1" w:color="1F497D"/>
        </w:pBdr>
      </w:pPr>
    </w:p>
    <w:p>
      <w:pPr>
        <w:spacing w:after="320"/>
        <w:jc w:val="left"/>
      </w:pPr>
      <w:r>
        <w:rPr>
          <w:rFonts w:ascii="Calibri" w:hAnsi="Calibri"/>
          <w:color w:val="808080"/>
          <w:sz w:val="18"/>
        </w:rPr>
        <w:t>A cura della Redazione Ratio  •  15 maggio 2026</w:t>
      </w:r>
    </w:p>
    <w:p>
      <w:pPr>
        <w:spacing w:after="160" w:line="320" w:lineRule="exact"/>
        <w:jc w:val="both"/>
      </w:pPr>
      <w:r>
        <w:rPr>
          <w:rFonts w:ascii="Calibri" w:hAnsi="Calibri"/>
          <w:sz w:val="22"/>
        </w:rPr>
        <w:t>Nelle ultime settimane molte aziende italiane hanno rallentato il lavoro di adeguamento all’AI Act aspettando notizie da Bruxelles. Il 7 maggio, nella notte tra martedì e mercoledì, Parlamento europeo e Consiglio dell’Unione europea hanno raggiunto un accordo provvisorio nel quadro del pacchetto Digital Omnibus: le scadenze per i sistemi di intelligenza artificiale classificati ad alto rischio vengono spostate in avanti di oltre un anno. Gli obblighi per i sistemi autonomi slittano dal 2 agosto 2026 al 2 dicembre 2027; quelli per i sistemi integrati in prodotti soggetti a normativa settoriale si spostano al 2 agosto 2028. In molti hanno letto la notizia come una boccata d’ossigeno. Conviene però capire bene cosa si è spostato e cosa è rimasto fermo.</w:t>
      </w:r>
    </w:p>
    <w:p>
      <w:pPr>
        <w:spacing w:after="160" w:line="320" w:lineRule="exact"/>
        <w:jc w:val="both"/>
      </w:pPr>
      <w:r>
        <w:rPr>
          <w:rFonts w:ascii="Calibri" w:hAnsi="Calibri"/>
          <w:sz w:val="22"/>
        </w:rPr>
        <w:t>Il rinvio riguarda una parte specifica del Regolamento: gli obblighi che si applicano ai sistemi di IA classificati ad alto rischio nell’Allegato III (biometria, infrastrutture critiche, selezione del personale, merito creditizio, istruzione, settore legale) e nell’Allegato I (prodotti soggetti a normativa di settore, come dispositivi medici o macchinari industriali). Sono sistemi rilevanti per certi comparti, ma la maggior parte degli studi professionali e delle PMI italiane non li utilizza nella forma tecnica che il Regolamento intende con quel termine. Per loro, il rinvio cambia poco o nulla nella situazione di agosto 2026.</w:t>
      </w:r>
    </w:p>
    <w:p>
      <w:pPr>
        <w:spacing w:after="160" w:line="320" w:lineRule="exact"/>
        <w:jc w:val="both"/>
      </w:pPr>
      <w:r>
        <w:rPr>
          <w:rFonts w:ascii="Calibri" w:hAnsi="Calibri"/>
          <w:sz w:val="22"/>
        </w:rPr>
        <w:t>Quello che rimane in vigore ad agosto 2026 riguarda la formazione, i divieti assoluti già operativi dal 2 febbraio 2025, e la marcatura dei contenuti generati dall’AI. L’articolo 4 del Regolamento, che impone a chiunque utilizzi sistemi di intelligenza artificiale in un contesto professionale di garantire un livello sufficiente di comprensione delle loro caratteristiche, dei loro limiti e dei rischi che comportano, non è stato toccato dal Digital Omnibus. Entra in vigore il 2 agosto 2026, senza rinvii.</w:t>
      </w:r>
    </w:p>
    <w:p>
      <w:pPr>
        <w:spacing w:before="280" w:after="120"/>
      </w:pPr>
      <w:r>
        <w:rPr>
          <w:rFonts w:ascii="Calibri" w:hAnsi="Calibri"/>
          <w:b/>
          <w:color w:val="1F497D"/>
          <w:sz w:val="24"/>
        </w:rPr>
        <w:t>Cosa cambia davvero con il Digital Omnibus</w:t>
      </w:r>
    </w:p>
    <w:p>
      <w:pPr>
        <w:spacing w:after="160" w:line="320" w:lineRule="exact"/>
        <w:jc w:val="both"/>
      </w:pPr>
      <w:r>
        <w:rPr>
          <w:rFonts w:ascii="Calibri" w:hAnsi="Calibri"/>
          <w:sz w:val="22"/>
        </w:rPr>
        <w:t>L’accordo del 7 maggio introduce alcune novità concrete che vanno oltre il semplice slittamento di date. Le esenzioni per le PMI vengono estese anche alle mid-cap (imprese fino a 750 dipendenti e 150 milioni di fatturato), riducendo il perimetro degli obblighi più gravosi per una fascia più ampia di imprese. Viene introdotto un divieto esplicito, con scadenza dicembre 2026, per i sistemi progettati per generare contenuti sessuali non consensuali o materiale che coinvolge minori, una misura attesa da più parti. Il periodo di tolleranza per la marcatura dei contenuti generati dall’AI (immagini, audio, video) viene accorciato da sei a tre mesi, con scadenza al 2 dicembre 2026.</w:t>
      </w:r>
    </w:p>
    <w:p>
      <w:pPr>
        <w:spacing w:after="160" w:line="320" w:lineRule="exact"/>
        <w:jc w:val="both"/>
      </w:pPr>
      <w:r>
        <w:rPr>
          <w:rFonts w:ascii="Calibri" w:hAnsi="Calibri"/>
          <w:sz w:val="22"/>
        </w:rPr>
        <w:t>Per le aziende che si erano già strutturate in vista di agosto 2026, il rinvio sugli Allegati I e III lascia tempo per completare i percorsi di adeguamento con meno pressione. Per quelle che non avevano ancora iniziato, il rischio concreto è che il rinvio diventi una giustificazione per non fare niente, e che si arrivi alle nuove scadenze del 2027 e del 2028 nelle stesse condizioni di oggi.</w:t>
      </w:r>
    </w:p>
    <w:p>
      <w:pPr>
        <w:spacing w:before="280" w:after="120"/>
      </w:pPr>
      <w:r>
        <w:rPr>
          <w:rFonts w:ascii="Calibri" w:hAnsi="Calibri"/>
          <w:b/>
          <w:color w:val="1F497D"/>
          <w:sz w:val="24"/>
        </w:rPr>
        <w:t>L’obbligo che nessun rinvio tocca</w:t>
      </w:r>
    </w:p>
    <w:p>
      <w:pPr>
        <w:spacing w:after="160" w:line="320" w:lineRule="exact"/>
        <w:jc w:val="both"/>
      </w:pPr>
      <w:r>
        <w:rPr>
          <w:rFonts w:ascii="Calibri" w:hAnsi="Calibri"/>
          <w:sz w:val="22"/>
        </w:rPr>
        <w:t>La AI literacy è l’obbligo che più tocca direttamente la quotidianità di uno studio professionale o di un ufficio amministrativo. Il Regolamento non richiede certificazioni formali, ma chiede che chiunque lavori con sistemi di IA abbia una comprensione proporzionata alla propria funzione: un responsabile che valida l’output di un sistema automatizzato ha bisogno di una comprensione diversa da quella di chi usa un assistente di scrittura per redigere comunicazioni commerciali. La differenza non è banale, e l’assenza di percorsi formativi documentati può diventare una vulnerabilità in caso di controllo.</w:t>
      </w:r>
    </w:p>
    <w:p>
      <w:pPr>
        <w:spacing w:after="160" w:line="320" w:lineRule="exact"/>
        <w:jc w:val="both"/>
      </w:pPr>
      <w:r>
        <w:rPr>
          <w:rFonts w:ascii="Calibri" w:hAnsi="Calibri"/>
          <w:sz w:val="22"/>
        </w:rPr>
        <w:t>In Italia, le autorità competenti designate ai sensi dell’AI Act sono l’Agenzia per l’Italia Digitale (AGID) e l’Agenzia per la Cybersicurezza Nazionale (ACN), affiancate dal Garante Privacy per i profili connessi al trattamento dei dati personali. La Legge 132/2025, il testo italiano di recepimento entrato in vigore il 10 ottobre 2025, ha introdotto disposizioni specifiche sulla responsabilità professionale che si sommano agli obblighi del Regolamento europeo. Avere documentato l’attività formativa svolta e le policy interne sull’uso degli strumenti AI è già una forma concreta di compliance, indipendentemente dalla classificazione del sistema usato.</w:t>
      </w:r>
    </w:p>
    <w:p>
      <w:pPr>
        <w:spacing w:before="280" w:after="120"/>
      </w:pPr>
      <w:r>
        <w:rPr>
          <w:rFonts w:ascii="Calibri" w:hAnsi="Calibri"/>
          <w:b/>
          <w:color w:val="1F497D"/>
          <w:sz w:val="24"/>
        </w:rPr>
        <w:t>Il vantaggio di chi continua a prepararsi</w:t>
      </w:r>
    </w:p>
    <w:p>
      <w:pPr>
        <w:spacing w:after="160" w:line="320" w:lineRule="exact"/>
        <w:jc w:val="both"/>
      </w:pPr>
      <w:r>
        <w:rPr>
          <w:rFonts w:ascii="Calibri" w:hAnsi="Calibri"/>
          <w:sz w:val="22"/>
        </w:rPr>
        <w:t>Le aziende che continuano il lavoro di adeguamento pur avendo guadagnato tempo sui sistemi ad alto rischio si trovano in una posizione migliore su più fronti. Consolidano la governance interna sull’uso degli strumenti AI, che è utile indipendentemente dalle scadenze normative. Costruiscono competenze nel team che rendono l’adozione di nuovi strumenti più rapida e sicura. Documentano i processi in modo che sarà più facile aggiornare quando le scadenze del 2027 e del 2028 si avvicineranno.</w:t>
      </w:r>
    </w:p>
    <w:p>
      <w:pPr>
        <w:spacing w:after="160" w:line="320" w:lineRule="exact"/>
        <w:jc w:val="both"/>
      </w:pPr>
      <w:r>
        <w:rPr>
          <w:rFonts w:ascii="Calibri" w:hAnsi="Calibri"/>
          <w:sz w:val="22"/>
        </w:rPr>
        <w:t>Il Digital Omnibus ha dato più tempo su una parte degli obblighi. Non ha tolto la necessità di avere una posizione chiara su come l’intelligenza artificiale entra nel lavoro quotidiano, chi la controlla, e cosa succede quando sbaglia. Queste domande non hanno una scadenza normativa: hanno una rilevanza pratica che precede qualsiasi obbligo di legge.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 AI Act, come modificato dal Digital Omnibus</w:t>
      </w:r>
    </w:p>
    <w:p>
      <w:pPr>
        <w:spacing w:after="40"/>
      </w:pPr>
      <w:r>
        <w:rPr>
          <w:rFonts w:ascii="Calibri" w:hAnsi="Calibri"/>
          <w:color w:val="606060"/>
          <w:sz w:val="17"/>
        </w:rPr>
        <w:t>• Accordo provvisorio Parlamento UE / Consiglio dell’UE, 7 maggio 2026</w:t>
      </w:r>
    </w:p>
    <w:p>
      <w:pPr>
        <w:spacing w:after="40"/>
      </w:pPr>
      <w:r>
        <w:rPr>
          <w:rFonts w:ascii="Calibri" w:hAnsi="Calibri"/>
          <w:color w:val="606060"/>
          <w:sz w:val="17"/>
        </w:rPr>
        <w:t>• agendadigitale.eu — “Accordo su Digital Omnibus, così l’Europa rinvia gli obblighi AI Act” (7 maggio 2026)</w:t>
      </w:r>
    </w:p>
    <w:p>
      <w:pPr>
        <w:spacing w:after="40"/>
      </w:pPr>
      <w:r>
        <w:rPr>
          <w:rFonts w:ascii="Calibri" w:hAnsi="Calibri"/>
          <w:color w:val="606060"/>
          <w:sz w:val="17"/>
        </w:rPr>
        <w:t>• avvera.it — “AI Act Omnibus: l’accordo del 7 maggio tra Parlamento e Consiglio” (maggio 2026)</w:t>
      </w:r>
    </w:p>
    <w:p>
      <w:pPr>
        <w:spacing w:after="40"/>
      </w:pPr>
      <w:r>
        <w:rPr>
          <w:rFonts w:ascii="Calibri" w:hAnsi="Calibri"/>
          <w:color w:val="606060"/>
          <w:sz w:val="17"/>
        </w:rPr>
        <w:t>• Legge 132/2025 — Disciplina organica sull’intelligenza artificiale in Italia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