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Agosto 2026  |  Strumenti AI per Professionisti</w:t>
      </w:r>
    </w:p>
    <w:p/>
    <w:p>
      <w:pPr>
        <w:spacing w:after="120"/>
        <w:jc w:val="left"/>
      </w:pPr>
      <w:r>
        <w:rPr>
          <w:rFonts w:ascii="Calibri" w:hAnsi="Calibri"/>
          <w:b/>
          <w:color w:val="1F497D"/>
          <w:sz w:val="48"/>
        </w:rPr>
        <w:t>Il 22% delle grandi imprese ha già agenti AI in produzione.</w:t>
      </w:r>
    </w:p>
    <w:p>
      <w:pPr>
        <w:spacing w:after="200"/>
        <w:jc w:val="left"/>
      </w:pPr>
      <w:r>
        <w:rPr>
          <w:rFonts w:ascii="Calibri" w:hAnsi="Calibri"/>
          <w:i/>
          <w:color w:val="2E74B5"/>
          <w:sz w:val="26"/>
        </w:rPr>
        <w:t>Gli agenti autonomi non sono più un esperimento di laboratorio. Una quota significativa delle aziende italiane leader li usa già su processi reali. Per le PMI, il divario si apre in tempo reale. La domanda non è se adottarli: è come farlo senza perdere il controllo.</w:t>
      </w:r>
    </w:p>
    <w:p>
      <w:pPr>
        <w:spacing w:after="40" w:before="40"/>
        <w:pBdr>
          <w:bottom w:val="single" w:sz="6" w:space="1" w:color="1F497D"/>
        </w:pBdr>
      </w:pPr>
    </w:p>
    <w:p>
      <w:pPr>
        <w:spacing w:after="320"/>
        <w:jc w:val="left"/>
      </w:pPr>
      <w:r>
        <w:rPr>
          <w:rFonts w:ascii="Calibri" w:hAnsi="Calibri"/>
          <w:color w:val="808080"/>
          <w:sz w:val="18"/>
        </w:rPr>
        <w:t>A cura della Redazione Ratio  •  28 agosto 2026</w:t>
      </w:r>
    </w:p>
    <w:p>
      <w:pPr>
        <w:spacing w:after="160" w:line="320" w:lineRule="exact"/>
        <w:jc w:val="both"/>
      </w:pPr>
      <w:r>
        <w:rPr>
          <w:rFonts w:ascii="Calibri" w:hAnsi="Calibri"/>
          <w:sz w:val="22"/>
        </w:rPr>
        <w:t>Nel 1903, i fratelli Wright volarono per 12 secondi a Kitty Hawk. La maggior parte degli ingegneri aeronautici dell’epoca non era presente, e molti di quelli che sentirono la notizia la ritennero esagerata o irrilevante. Il volo commerciale era ancora due decenni lontano. Eppure chi ignorava ciò che era successo quel mattino si ritrovò tagliato fuori da una curva tecnologica che aveva già cambiato direzione. Nel 2026, il 22% delle grandi imprese italiane ha già implementato agenti AI autonomi su workflow multi-step senza supervisione costante. Non sono prototipi: sono sistemi in produzione, che leggono documenti, interrogano database, inviano comunicazioni, prenotano risorse e producono report senza che un operatore umano approvi ogni singolo passaggio. Il volo è già avvenuto. La domanda è cosa si fa adesso.</w:t>
      </w:r>
    </w:p>
    <w:p>
      <w:pPr>
        <w:spacing w:after="160" w:line="320" w:lineRule="exact"/>
        <w:jc w:val="both"/>
      </w:pPr>
      <w:r>
        <w:rPr>
          <w:rFonts w:ascii="Calibri" w:hAnsi="Calibri"/>
          <w:sz w:val="22"/>
        </w:rPr>
        <w:t>Un agente AI è un sistema che non si limita a rispondere a una domanda ma esegue una sequenza di azioni per raggiungere un obiettivo: legge le email in arrivo, identifica quelle che richiedono una risposta urgente, recupera le informazioni rilevanti dal CRM o dal gestionale, redige una bozza di risposta contestualizzata e la presenta al responsabile per l’approvazione finale — o la invia direttamente se rientra in un insieme di regole predefinite. La differenza rispetto a un chatbot tradizionale è la catena di azioni: non una risposta, ma un processo. I principali sistemi agentic disponibili nel 2026 — Claude Opus 5 con computer use, GPT-5.6 con Operator, Gemini 3.7 con Project Mariner — possono operare su interfacce web, leggere email, compilare moduli, navigare gestionali e produrre output strutturati.</w:t>
      </w:r>
    </w:p>
    <w:p>
      <w:pPr>
        <w:spacing w:before="280" w:after="120"/>
      </w:pPr>
      <w:r>
        <w:rPr>
          <w:rFonts w:ascii="Calibri" w:hAnsi="Calibri"/>
          <w:b/>
          <w:color w:val="1F497D"/>
          <w:sz w:val="24"/>
        </w:rPr>
        <w:t>I casi d’uso che stanno entrando nelle aziende italiane</w:t>
      </w:r>
    </w:p>
    <w:p>
      <w:pPr>
        <w:spacing w:after="160" w:line="320" w:lineRule="exact"/>
        <w:jc w:val="both"/>
      </w:pPr>
      <w:r>
        <w:rPr>
          <w:rFonts w:ascii="Calibri" w:hAnsi="Calibri"/>
          <w:sz w:val="22"/>
        </w:rPr>
        <w:t>Nelle imprese italiane che hanno già adottato agenti AI, i processi coperti rientrano in quattro categorie principali. La prima è la gestione documentale: classificazione automatica di contratti, fatture e corrispondenza; estrazione strutturata di dati da documenti eterogenei; instradamento ai responsabili in base al contenuto. La seconda è il supporto alle vendite: analisi del portafoglio clienti, prioritizzazione dei lead, redazione di offerte su template approvati. La terza è la reportistica interna: aggregazione di dati da fonti multiple, produzione di dashboard settimanali, allert su anomalie nei KPI. La quarta è il servizio clienti di primo livello: risposta a richieste frequenti, instradamento dei casi complessi a operatori umani, aggiornamento dello stato delle pratiche. Nessuno di questi casi richiede un sistema completamente autonomo: tutti prevedono un punto di supervisione umana prima delle azioni più rilevanti.</w:t>
      </w:r>
    </w:p>
    <w:p>
      <w:pPr>
        <w:spacing w:before="280" w:after="120"/>
      </w:pPr>
      <w:r>
        <w:rPr>
          <w:rFonts w:ascii="Calibri" w:hAnsi="Calibri"/>
          <w:b/>
          <w:color w:val="1F497D"/>
          <w:sz w:val="24"/>
        </w:rPr>
        <w:t>Il rischio della delega senza governance</w:t>
      </w:r>
    </w:p>
    <w:p>
      <w:pPr>
        <w:spacing w:after="160" w:line="320" w:lineRule="exact"/>
        <w:jc w:val="both"/>
      </w:pPr>
      <w:r>
        <w:rPr>
          <w:rFonts w:ascii="Calibri" w:hAnsi="Calibri"/>
          <w:sz w:val="22"/>
        </w:rPr>
        <w:t>Il principale rischio degli agenti AI non è tecnico: è organizzativo. Un agente che opera su processi reali può commettere errori con conseguenze concrete: inviare una comunicazione sbagliata a un cliente, classificare un documento in modo errato, aggiornare un record con dati imprecisi. La velocità di esecuzione — che è uno dei principali vantaggi degli agenti — amplifica anche gli errori: un agente che lavora su cento pratiche al giorno può replicare un errore sistematico cento volte prima che venga rilevato. Le aziende che stanno ottenendo risultati positivi dagli agenti AI hanno in comune una caratteristica: hanno definito in anticipo i perimetri di autonomia del sistema, i punti di approvazione umana obbligatoria e le procedure di escalation quando il sistema incontra casi non previsti. La governance non è un freno agli agenti AI: è la condizione che ne rende sostenibile l’uso nel tempo.</w:t>
      </w:r>
    </w:p>
    <w:p>
      <w:pPr>
        <w:spacing w:before="280" w:after="120"/>
      </w:pPr>
      <w:r>
        <w:rPr>
          <w:rFonts w:ascii="Calibri" w:hAnsi="Calibri"/>
          <w:b/>
          <w:color w:val="1F497D"/>
          <w:sz w:val="24"/>
        </w:rPr>
        <w:t>Per le PMI: da dove iniziare</w:t>
      </w:r>
    </w:p>
    <w:p>
      <w:pPr>
        <w:spacing w:after="160" w:line="320" w:lineRule="exact"/>
        <w:jc w:val="both"/>
      </w:pPr>
      <w:r>
        <w:rPr>
          <w:rFonts w:ascii="Calibri" w:hAnsi="Calibri"/>
          <w:sz w:val="22"/>
        </w:rPr>
        <w:t>Per una PMI o uno studio professionale che non ha ancora sperimentato agenti AI, il punto di ingresso più sicuro è un processo ad alto volume, bassa variabilità e conseguenze reversibili in caso di errore. La classificazione della posta in arrivo, la sintesi di documenti interni, la generazione di bozze di risposta standard: sono processi dove l’agente produce un output che un operatore umano verifica prima di agire. Il passaggio successivo — delegare all’agente la comunicazione diretta — richiede che il perimetro dei casi gestibili sia ben definito e che il sistema abbia dimostrato un tasso di errore accettabile nelle fasi di supervisione. Il 22% delle grandi imprese ci è già arrivato. Per l’altro 78%, e per le PMI, la curva è ancora tutta davanti.</w:t>
      </w:r>
    </w:p>
    <w:p>
      <w:pPr>
        <w:spacing w:after="160" w:line="320" w:lineRule="exact"/>
        <w:jc w:val="both"/>
      </w:pPr>
      <w:r>
        <w:rPr>
          <w:rFonts w:ascii="Calibri" w:hAnsi="Calibri"/>
          <w:sz w:val="22"/>
        </w:rPr>
        <w:t>I fratelli Wright impiegarono sei anni da Kitty Hawk a produrre un aereo commercialmente affidabile. Sei anni, nell’economia dell’AI del 2026, equivalgono probabilmente a diciotto mesi. Non c’è molto tempo per restare a guardare.</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AI4Business — 'Guida agenti AI 2026: cosa sono, come funzionano, perché ora' (2026)</w:t>
      </w:r>
    </w:p>
    <w:p>
      <w:pPr>
        <w:spacing w:after="40"/>
      </w:pPr>
      <w:r>
        <w:rPr>
          <w:rFonts w:ascii="Calibri" w:hAnsi="Calibri"/>
          <w:color w:val="606060"/>
          <w:sz w:val="17"/>
        </w:rPr>
        <w:t>• Impesud — 'Agentic AI in Italia 2026: Dalla Teoria all’Azione' (2026)</w:t>
      </w:r>
    </w:p>
    <w:p>
      <w:pPr>
        <w:spacing w:after="40"/>
      </w:pPr>
      <w:r>
        <w:rPr>
          <w:rFonts w:ascii="Calibri" w:hAnsi="Calibri"/>
          <w:color w:val="606060"/>
          <w:sz w:val="17"/>
        </w:rPr>
        <w:t>• Everest Innovation — 'Agenti AI Autonomi: il 2026 è l’Anno della Rivoluzione Intelligente' (2026)</w:t>
      </w:r>
    </w:p>
    <w:p>
      <w:pPr>
        <w:spacing w:after="40"/>
      </w:pPr>
      <w:r>
        <w:rPr>
          <w:rFonts w:ascii="Calibri" w:hAnsi="Calibri"/>
          <w:color w:val="606060"/>
          <w:sz w:val="17"/>
        </w:rPr>
        <w:t>• MM-One — 'AI 2026: come cambiano davvero le aziende con gli agenti autonomi' (2026)</w:t>
      </w:r>
    </w:p>
    <w:p>
      <w:pPr>
        <w:spacing w:after="40"/>
      </w:pPr>
      <w:r>
        <w:rPr>
          <w:rFonts w:ascii="Calibri" w:hAnsi="Calibri"/>
          <w:color w:val="606060"/>
          <w:sz w:val="17"/>
        </w:rPr>
        <w:t>• Corriere Nazionale — 'La Nuova Era dell’Efficienza: Come l’AI Agentica sta Trasformando il Lavoro' (aprile 2026)</w:t>
      </w:r>
    </w:p>
    <w:p>
      <w:pPr>
        <w:spacing w:after="40"/>
      </w:pPr>
      <w:r>
        <w:rPr>
          <w:rFonts w:ascii="Calibri" w:hAnsi="Calibri"/>
          <w:color w:val="606060"/>
          <w:sz w:val="17"/>
        </w:rPr>
        <w:t>• Osservatorio Artificial Intelligence, Politecnico di Milano — Rapporto mercato AI 2025-2026</w:t>
      </w:r>
    </w:p>
    <w:p>
      <w:pPr>
        <w:spacing w:after="40"/>
      </w:pPr>
      <w:r>
        <w:rPr>
          <w:rFonts w:ascii="Calibri" w:hAnsi="Calibri"/>
          <w:color w:val="606060"/>
          <w:sz w:val="17"/>
        </w:rPr>
        <w:t>• Regolamento UE 2024/1689 (AI Act), artt. 4, 6, Allegato III</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