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aps/>
          <w:color w:val="1F497D"/>
          <w:sz w:val="18"/>
        </w:rPr>
        <w:t>RATIO  •  Approfondimenti per Professionisti e Imprese</w:t>
      </w:r>
    </w:p>
    <w:p>
      <w:pPr>
        <w:spacing w:after="40" w:before="40"/>
        <w:pBdr>
          <w:bottom w:val="single" w:sz="6" w:space="1" w:color="1F497D"/>
        </w:pBdr>
      </w:pPr>
    </w:p>
    <w:p>
      <w:pPr>
        <w:jc w:val="right"/>
      </w:pPr>
      <w:r>
        <w:rPr>
          <w:rFonts w:ascii="Calibri" w:hAnsi="Calibri"/>
          <w:i/>
          <w:color w:val="606060"/>
          <w:sz w:val="17"/>
        </w:rPr>
        <w:t>Agosto 2026  |  Normativa AI e Compliance</w:t>
      </w:r>
    </w:p>
    <w:p/>
    <w:p>
      <w:pPr>
        <w:spacing w:after="120"/>
        <w:jc w:val="left"/>
      </w:pPr>
      <w:r>
        <w:rPr>
          <w:rFonts w:ascii="Calibri" w:hAnsi="Calibri"/>
          <w:b/>
          <w:color w:val="1F497D"/>
          <w:sz w:val="48"/>
        </w:rPr>
        <w:t>L’alto rischio aspetta il 2027. Ma non tutto.</w:t>
      </w:r>
    </w:p>
    <w:p>
      <w:pPr>
        <w:spacing w:after="200"/>
        <w:jc w:val="left"/>
      </w:pPr>
      <w:r>
        <w:rPr>
          <w:rFonts w:ascii="Calibri" w:hAnsi="Calibri"/>
          <w:i/>
          <w:color w:val="2E74B5"/>
          <w:sz w:val="26"/>
        </w:rPr>
        <w:t>Il Regolamento UE 2026/1744 — il cosiddetto Digital Omnibus — ha spostato gli obblighi più severi dell’AI Act al dicembre 2027. Per PMI e studi professionali, cambia il calendario, non la direzione. E alcune scadenze sono già scattate.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after="320"/>
        <w:jc w:val="left"/>
      </w:pPr>
      <w:r>
        <w:rPr>
          <w:rFonts w:ascii="Calibri" w:hAnsi="Calibri"/>
          <w:color w:val="808080"/>
          <w:sz w:val="18"/>
        </w:rPr>
        <w:t>A cura della Redazione Ratio  •  28 agosto 2026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Nel 1814 il Congresso di Vienna rimandò di qualche mese la ridefinizione dei confini europei. I diplomatici speravano che il tempo addolcisse le posizioni. In parte funzionò. Ma chi si era già preparato per la nuova mappa non perse niente: chi aveva aspettato il rinvio per cominciare a ragionare si ritrovò comunque indietro. Il Regolamento UE 2026/1744, entrato in vigore il 27 luglio 2026 e noto come Digital Omnibus on AI, ha modificato alcuni articoli dell’AI Act spostando le scadenze più impegnative per i sistemi ad alto rischio. Gli obblighi che sarebbero scattati il 2 agosto 2026 per questa categoria sono stati rinviati: al 2 dicembre 2027 per alcune tipologie, al 2 agosto 2028 per le più complesse. La notizia ha circolato come un sospiro di sollievo. Ma il sospiro andrebbe modulato con attenzione.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Il Digital Omnibus non ha toccato gli obblighi già in vigore dal 2 agosto 2026. L’obbligo di trasparenza per i sistemi AI che interagiscono con le persone — chatbot, assistenti vocali, risponditori automatici — è pienamente operativo. L’obbligo di AI literacy, che impone alle imprese di garantire che il personale utilizzi l’AI con competenza adeguata, è in vigore. La governance dei modelli di uso generale — GPT, Claude, Gemini — è soggetta ai nuovi obblighi documentali. Quello che il rinvio ha spostato sono gli obblighi di valutazione della conformità, registrazione e sorveglianza post-immissione sul mercato per i sistemi classificati ad alto rischio: sistemi di selezione del personale, scoring creditizio, valutazione degli studenti, gestione delle infrastrutture critiche.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4"/>
        </w:rPr>
        <w:t>Chi è davvero ad alto rischio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La categoria ‘alto rischio’ dell’AI Act è definita dall’Allegato III del Regolamento. Per la grande maggioranza delle PMI e degli studi professionali italiani, i sistemi in uso — chatbot di front-office, strumenti di redazione, assistenti per la contabilità, analisi documentale — non rientrano in questa categoria. Rientrano invece in alto rischio i sistemi che incidono su decisioni con effetti significativi sulle persone fisiche: ammissione al credito, selezione e valutazione del personale, accesso a servizi pubblici essenziali, sistemi biometrici. Se uno studio professionale o una PMI usa un software di selezione del personale con componenti AI — screening automatico dei curricula, scoring dei candidati — è molto probabile che quel sistema ricada nell’alto rischio. In quel caso, il rinvio al 2027 offre tempo per prepararsi, non per ignorare il tema.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4"/>
        </w:rPr>
        <w:t>La mappa degli obblighi aggiornata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Con il Digital Omnibus, il calendario degli obblighi si articola su tre livelli. Primo livello — già in vigore dal 2 agosto 2026: trasparenza sui sistemi AI che interagiscono con persone, marcatura dei contenuti generati da AI, AI literacy del personale, governance dei modelli di uso generale. Secondo livello — in vigore dal 2 dicembre 2027: obblighi per i sistemi ad alto rischio elencati nell’Allegato III che non erano già coperti dalla normativa di settore preesistente. Terzo livello — in vigore dal 2 agosto 2028: obblighi per i sistemi ad alto rischio incorporati in prodotti già soggetti a normative di sicurezza europee (macchinari, dispositivi medici, veicoli). Le sanzioni per le violazioni degli obblighi di trasparenza restano invariate: fino al 3% del fatturato mondiale o 15 milioni di euro. Per la non conformità dei sistemi ad alto rischio, fino al 7% o 35 milioni.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4"/>
        </w:rPr>
        <w:t>Cosa fare adesso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Per PMI e studi professionali, l’azione pratica post-Digital Omnibus è una verifica in due tempi. Nel breve periodo — settembre-ottobre 2026 — completare la compliance sugli obblighi già in vigore: verifica dei sistemi AI in uso, configurazione delle disclosure per i sistemi rivolti ai clienti, documentazione della formazione ricevuta dal personale. Nel medio periodo — entro il primo trimestre 2027 — verificare se uno o più sistemi in uso o in valutazione ricadono nell’alto rischio e avviare la valutazione della conformità con i requisiti dell’Allegato III. Chi aspetta il 2027 per cominciare a ragionarci si ritroverà nella stessa posizione di chi aspettava il 2 agosto per occuparsi degli obblighi di trasparenza.</w:t>
      </w:r>
    </w:p>
    <w:p>
      <w:pPr>
        <w:spacing w:after="160" w:line="320" w:lineRule="exact"/>
        <w:jc w:val="both"/>
      </w:pPr>
      <w:r>
        <w:rPr>
          <w:rFonts w:ascii="Calibri" w:hAnsi="Calibri"/>
          <w:sz w:val="22"/>
        </w:rPr>
        <w:t>Il Congresso di Vienna si concluse nel giugno 1815, poco prima di Waterloo. I confini furono ridisegnati, ma chi aveva usato bene i mesi del negoziato arribò al tavolo con una posizione più solida. Il rinvio è un’opportunità di preparazione, non di attesa.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before="200"/>
      </w:pPr>
      <w:r>
        <w:rPr>
          <w:rFonts w:ascii="Calibri" w:hAnsi="Calibri"/>
          <w:b/>
          <w:color w:val="606060"/>
          <w:sz w:val="18"/>
        </w:rPr>
        <w:t>Riferimenti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Regolamento UE 2026/1744 (Digital Omnibus on AI) — entrato in vigore il 27 luglio 2026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Regolamento UE 2024/1689 (AI Act), Allegato III — Sistemi AI ad alto rischio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Meta Communications — 'Regolamentazione dell’AI. Cosa cambia da agosto 2026' (luglio 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UniverseIT — 'AI Act 2 agosto 2026: cosa cambia per le imprese'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Legaledigitale.com — 'AI Act 2026: i nuovi obblighi dal 2 agosto spiegati a imprese e professionisti'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Gruppo Informatica — 'AI Act 2026: obblighi per PMI, studi e sanità dal 2 agosto'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PMI.it — 'AI Act dal 2 agosto 2026, obblighi in vigore e rinvii'</w:t>
      </w:r>
    </w:p>
    <w:p>
      <w:pPr>
        <w:spacing w:before="320"/>
        <w:jc w:val="center"/>
      </w:pPr>
      <w:r>
        <w:rPr>
          <w:rFonts w:ascii="Calibri" w:hAnsi="Calibri"/>
          <w:i/>
          <w:color w:val="A0A0A0"/>
          <w:sz w:val="16"/>
        </w:rPr>
        <w:t>© 2026 Mattavelli Amodeo — Commercialisti Associati  •  Riproduzione consentita con citazione della fonte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