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Strumenti AI per Professionisti</w:t>
      </w:r>
    </w:p>
    <w:p/>
    <w:p>
      <w:pPr>
        <w:spacing w:after="120"/>
        <w:jc w:val="left"/>
      </w:pPr>
      <w:r>
        <w:rPr>
          <w:rFonts w:ascii="Calibri" w:hAnsi="Calibri"/>
          <w:b/>
          <w:color w:val="1F497D"/>
          <w:sz w:val="48"/>
        </w:rPr>
        <w:t>Tutti a 20 euro al mese. Ma non sono uguali.</w:t>
      </w:r>
    </w:p>
    <w:p>
      <w:pPr>
        <w:spacing w:after="200"/>
        <w:jc w:val="left"/>
      </w:pPr>
      <w:r>
        <w:rPr>
          <w:rFonts w:ascii="Calibri" w:hAnsi="Calibri"/>
          <w:i/>
          <w:color w:val="2E74B5"/>
          <w:sz w:val="26"/>
        </w:rPr>
        <w:t>Claude Opus 5, GPT-5.6 Sol e Gemini 3.7 Pro costano la stessa cifra. La parità di prezzo non significa parità di prestazioni. Per un professionista o un’azienda, la scelta giusta dipende da cosa si fa, non da quanto si spende.</w:t>
      </w:r>
    </w:p>
    <w:p>
      <w:pPr>
        <w:spacing w:after="40" w:before="40"/>
        <w:pBdr>
          <w:bottom w:val="single" w:sz="6" w:space="1" w:color="1F497D"/>
        </w:pBdr>
      </w:pPr>
    </w:p>
    <w:p>
      <w:pPr>
        <w:spacing w:after="320"/>
        <w:jc w:val="left"/>
      </w:pPr>
      <w:r>
        <w:rPr>
          <w:rFonts w:ascii="Calibri" w:hAnsi="Calibri"/>
          <w:color w:val="808080"/>
          <w:sz w:val="18"/>
        </w:rPr>
        <w:t>A cura della Redazione Ratio  •  28 agosto 2026</w:t>
      </w:r>
    </w:p>
    <w:p>
      <w:pPr>
        <w:spacing w:after="160" w:line="320" w:lineRule="exact"/>
        <w:jc w:val="both"/>
      </w:pPr>
      <w:r>
        <w:rPr>
          <w:rFonts w:ascii="Calibri" w:hAnsi="Calibri"/>
          <w:sz w:val="22"/>
        </w:rPr>
        <w:t>Nel 1970, tutte le auto di fascia media costavano circa la stessa cifra. Una Fiat 128 e una BMW 2002 avevano prezzi simili, ma erano progettate per guidatori diversi, con abitudini diverse, su strade diverse. Il confronto non aveva senso in astratto: aveva senso solo sapendo dove si abitava, quanto si guidava e cosa si chiedeva all’auto. Nel 2026, i tre principali assistenti AI per professionisti — Claude Opus 5 di Anthropic, GPT-5.6 Sol di OpenAI, Gemini 3.7 Pro di Google — costano tutti circa 20 euro al mese per l’abbonamento individuale. La parità di prezzo, come quella delle auto del 1970, non dice niente su quale sia quello giusto per il proprio lavoro.</w:t>
      </w:r>
    </w:p>
    <w:p>
      <w:pPr>
        <w:spacing w:after="160" w:line="320" w:lineRule="exact"/>
        <w:jc w:val="both"/>
      </w:pPr>
      <w:r>
        <w:rPr>
          <w:rFonts w:ascii="Calibri" w:hAnsi="Calibri"/>
          <w:sz w:val="22"/>
        </w:rPr>
        <w:t>Claude Opus 5, rilasciato il 24 luglio 2026, rappresenta attualmente il vertice delle prestazioni nei compiti che richiedono ragionamento prolungato, coerenza su documenti lunghi e qualità della scrittura in italiano. Introduce l’‘Effort Dial’: la possibilità di modulare la profondità del ragionamento interno in base alla complessità del compito, con effetti diretti sulla velocità di risposta e sulla qualità dell’output. Su compiti di analisi documentale, redazione di pareri, sintesi di contratti complessi e risposta a quesiti normativi articolati è il modello con le prestazioni più costanti. GPT-5.6 Sol, lanciato il 9 luglio come primo tier della famiglia GPT-5.6, eccelle per la velocità di risposta, la gestione di task paralleli e l’integrazione con l’ecosistema Office e Teams. Gemini 3.7 Pro, rilasciato il 13 agosto, domina per chi lavora in Google Workspace e ha bisogno di informazioni aggiornate in tempo reale senza uscire dall’ambiente di lavoro.</w:t>
      </w:r>
    </w:p>
    <w:p>
      <w:pPr>
        <w:spacing w:before="280" w:after="120"/>
      </w:pPr>
      <w:r>
        <w:rPr>
          <w:rFonts w:ascii="Calibri" w:hAnsi="Calibri"/>
          <w:b/>
          <w:color w:val="1F497D"/>
          <w:sz w:val="24"/>
        </w:rPr>
        <w:t>Il test che conta: il proprio lavoro</w:t>
      </w:r>
    </w:p>
    <w:p>
      <w:pPr>
        <w:spacing w:after="160" w:line="320" w:lineRule="exact"/>
        <w:jc w:val="both"/>
      </w:pPr>
      <w:r>
        <w:rPr>
          <w:rFonts w:ascii="Calibri" w:hAnsi="Calibri"/>
          <w:sz w:val="22"/>
        </w:rPr>
        <w:t>Il modo più affidabile per scegliere tra i tre modelli è testarne le prestazioni sui propri casi d’uso reali, non sui benchmark generali. I benchmark misurano prestazioni medie su insiemi eterogenei di compiti: un modello che vince su un benchmark accademico può perdere su un documento fiscale in italiano del 2025. La procedura pratica è semplice: identificare tre o quattro compiti che si svolgono con frequenza nel proprio lavoro — redazione di una lettera al cliente, analisi di una visura camerale, risposta a un quesito normativo, sintesi di un contratto — eseguirli su tutti e tre i modelli con lo stesso prompt e valutare l’output su tre criteri: accuratezza, leggibilità e tempo. Il modello che vince sui propri casi d’uso specifici è il modello giusto per la propria realtà, indipendentemente da cosa dicono i report generalisti.</w:t>
      </w:r>
    </w:p>
    <w:p>
      <w:pPr>
        <w:spacing w:before="280" w:after="120"/>
      </w:pPr>
      <w:r>
        <w:rPr>
          <w:rFonts w:ascii="Calibri" w:hAnsi="Calibri"/>
          <w:b/>
          <w:color w:val="1F497D"/>
          <w:sz w:val="24"/>
        </w:rPr>
        <w:t>Il fattore ecosistema</w:t>
      </w:r>
    </w:p>
    <w:p>
      <w:pPr>
        <w:spacing w:after="160" w:line="320" w:lineRule="exact"/>
        <w:jc w:val="both"/>
      </w:pPr>
      <w:r>
        <w:rPr>
          <w:rFonts w:ascii="Calibri" w:hAnsi="Calibri"/>
          <w:sz w:val="22"/>
        </w:rPr>
        <w:t>Oltre alle prestazioni sui singoli task, la scelta del modello è influenzata dall’ecosistema di strumenti già in uso. Uno studio professionale che lavora prevalentemente su Microsoft 365 — Outlook, Word, Excel, Teams — troverà nel piano M365 Copilot con GPT-5.6 sottostante un’integrazione nativa difficilmente replicabile con gli altri modelli. Un’azienda che usa Google Workspace in modo intensivo — Gmail, Drive, Docs, Meet — troverà la stessa integrazione in Gemini. Chi lavora principalmente da browser o da strumenti non integrati con i grandi ecosystem può scegliere il modello più adatto al task senza vincoli di ecosistema. La scelta dell’assistente AI principale non è solo una scelta di modello: è sempre più una scelta di piattaforma.</w:t>
      </w:r>
    </w:p>
    <w:p>
      <w:pPr>
        <w:spacing w:before="280" w:after="120"/>
      </w:pPr>
      <w:r>
        <w:rPr>
          <w:rFonts w:ascii="Calibri" w:hAnsi="Calibri"/>
          <w:b/>
          <w:color w:val="1F497D"/>
          <w:sz w:val="24"/>
        </w:rPr>
        <w:t>Il rischio della dipendenza da un unico fornitore</w:t>
      </w:r>
    </w:p>
    <w:p>
      <w:pPr>
        <w:spacing w:after="160" w:line="320" w:lineRule="exact"/>
        <w:jc w:val="both"/>
      </w:pPr>
      <w:r>
        <w:rPr>
          <w:rFonts w:ascii="Calibri" w:hAnsi="Calibri"/>
          <w:sz w:val="22"/>
        </w:rPr>
        <w:t>La parità di prezzo tra i tre grandi modelli nasconde un rischio strutturale che molte aziende non stanno ancora considerando: la dipendenza operativa da un’unica piattaforma AI. Se uno studio professionale o un’azienda costruisce i propri flussi di lavoro interamente su un modello specifico, un cambio di policy commerciale, un’interruzione del servizio o un aumento di prezzo da parte del fornitore diventano un problema operativo immediato. L’approccio più robusto è usare il modello principale per l’80% dei casi d’uso e mantenere la familiarità con un modello alternativo per i rimanenti. Non è un problema tecnologico: è una scelta di gestione del rischio.</w:t>
      </w:r>
    </w:p>
    <w:p>
      <w:pPr>
        <w:spacing w:after="160" w:line="320" w:lineRule="exact"/>
        <w:jc w:val="both"/>
      </w:pPr>
      <w:r>
        <w:rPr>
          <w:rFonts w:ascii="Calibri" w:hAnsi="Calibri"/>
          <w:sz w:val="22"/>
        </w:rPr>
        <w:t>La Fiat 128 e la BMW 2002 avevano entrambe quattro ruote e un volante. Chi scelse bene guardò alle strade su cui guidava, non alla scheda tecnica. La scelta del modello AI funziona esattamente nello stesso modo.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Oreate AI Guides — 'Claude 5, GPT-5.6, and Gemini 3.7: The State of AI Model Releases in August 2026'</w:t>
      </w:r>
    </w:p>
    <w:p>
      <w:pPr>
        <w:spacing w:after="40"/>
      </w:pPr>
      <w:r>
        <w:rPr>
          <w:rFonts w:ascii="Calibri" w:hAnsi="Calibri"/>
          <w:color w:val="606060"/>
          <w:sz w:val="17"/>
        </w:rPr>
        <w:t>• Bleap Finance — 'Claude vs GPT vs Gemini: Confronto tra i Migliori Modelli di IA del 2026'</w:t>
      </w:r>
    </w:p>
    <w:p>
      <w:pPr>
        <w:spacing w:after="40"/>
      </w:pPr>
      <w:r>
        <w:rPr>
          <w:rFonts w:ascii="Calibri" w:hAnsi="Calibri"/>
          <w:color w:val="606060"/>
          <w:sz w:val="17"/>
        </w:rPr>
        <w:t>• Pasquale Pillitteri — 'ChatGPT vs Claude vs Gemini: Quale Scegliere nel 2026'</w:t>
      </w:r>
    </w:p>
    <w:p>
      <w:pPr>
        <w:spacing w:after="40"/>
      </w:pPr>
      <w:r>
        <w:rPr>
          <w:rFonts w:ascii="Calibri" w:hAnsi="Calibri"/>
          <w:color w:val="606060"/>
          <w:sz w:val="17"/>
        </w:rPr>
        <w:t>• Jenova AI — 'GPT vs Claude vs Gemini: Confronto Completo dei Modelli AI per il 2026'</w:t>
      </w:r>
    </w:p>
    <w:p>
      <w:pPr>
        <w:spacing w:after="40"/>
      </w:pPr>
      <w:r>
        <w:rPr>
          <w:rFonts w:ascii="Calibri" w:hAnsi="Calibri"/>
          <w:color w:val="606060"/>
          <w:sz w:val="17"/>
        </w:rPr>
        <w:t>• Medium — 'I Tested Every Major AI Model in August 2026. Here’s the Winner' (agosto 2026)</w:t>
      </w:r>
    </w:p>
    <w:p>
      <w:pPr>
        <w:spacing w:after="40"/>
      </w:pPr>
      <w:r>
        <w:rPr>
          <w:rFonts w:ascii="Calibri" w:hAnsi="Calibri"/>
          <w:color w:val="606060"/>
          <w:sz w:val="17"/>
        </w:rPr>
        <w:t>• Anthropic — Note di rilascio Claude Opus 5 (24 luglio 2026)</w:t>
      </w:r>
    </w:p>
    <w:p>
      <w:pPr>
        <w:spacing w:after="40"/>
      </w:pPr>
      <w:r>
        <w:rPr>
          <w:rFonts w:ascii="Calibri" w:hAnsi="Calibri"/>
          <w:color w:val="606060"/>
          <w:sz w:val="17"/>
        </w:rPr>
        <w:t>• OpenAI — Note di rilascio GPT-5.6 (9 luglio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