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2A96B" w14:textId="0CE4F879" w:rsidR="00CB688C" w:rsidRPr="005D58CD" w:rsidRDefault="005D58CD" w:rsidP="005D58CD">
      <w:pPr>
        <w:jc w:val="both"/>
        <w:rPr>
          <w:b/>
          <w:bCs/>
        </w:rPr>
      </w:pPr>
      <w:r w:rsidRPr="005D58CD">
        <w:rPr>
          <w:b/>
          <w:bCs/>
        </w:rPr>
        <w:t>La Mini Ires</w:t>
      </w:r>
    </w:p>
    <w:p w14:paraId="3C5786CA" w14:textId="4B738E32" w:rsidR="005D58CD" w:rsidRPr="005D58CD" w:rsidRDefault="005D58CD" w:rsidP="005D58CD">
      <w:pPr>
        <w:jc w:val="both"/>
        <w:rPr>
          <w:b/>
          <w:bCs/>
        </w:rPr>
      </w:pPr>
      <w:r w:rsidRPr="005D58CD">
        <w:rPr>
          <w:b/>
          <w:bCs/>
        </w:rPr>
        <w:t>Abstract</w:t>
      </w:r>
    </w:p>
    <w:p w14:paraId="44720C49" w14:textId="517FDB65" w:rsidR="005D58CD" w:rsidRPr="00353FF8" w:rsidRDefault="005D58CD" w:rsidP="005D58CD">
      <w:pPr>
        <w:jc w:val="both"/>
        <w:rPr>
          <w:i/>
          <w:iCs/>
        </w:rPr>
      </w:pPr>
      <w:r w:rsidRPr="00353FF8">
        <w:rPr>
          <w:i/>
          <w:iCs/>
        </w:rPr>
        <w:t>La Mini IRES 2025 rappresenta un'opportunità significativa per le imprese che intendono beneficiare di una riduzione dell’aliquota IRES dal 24% al 20%. L’agevolazione è concessa a condizione che una parte rilevante degli utili 2024 venga accantonata e successivamente destinata a investimenti in beni strumentali nuovi e all’incremento occupazionale.</w:t>
      </w:r>
    </w:p>
    <w:p w14:paraId="5F226918" w14:textId="3110A3CF" w:rsidR="005D58CD" w:rsidRPr="00353FF8" w:rsidRDefault="005D58CD" w:rsidP="005D58CD">
      <w:pPr>
        <w:jc w:val="both"/>
        <w:rPr>
          <w:i/>
          <w:iCs/>
        </w:rPr>
      </w:pPr>
      <w:r w:rsidRPr="00353FF8">
        <w:rPr>
          <w:i/>
          <w:iCs/>
        </w:rPr>
        <w:t>L’incentivo fiscale si inserisce nel quadro della riforma tributaria e punta a favorire la crescita economica attraverso il sostegno a Industria 4.0 e Transizione 5.0. Tuttavia, la misura presenta vincoli stringenti: oltre all’accantonamento minimo dell’utile, le imprese devono dimostrare un incremento del numero di dipendenti a tempo indeterminato e il mantenimento del livello occupazionale preesistente.</w:t>
      </w:r>
    </w:p>
    <w:p w14:paraId="666B873A" w14:textId="0669D83C" w:rsidR="005D58CD" w:rsidRPr="00353FF8" w:rsidRDefault="00353FF8" w:rsidP="00353FF8">
      <w:pPr>
        <w:jc w:val="both"/>
        <w:rPr>
          <w:i/>
          <w:iCs/>
        </w:rPr>
      </w:pPr>
      <w:r w:rsidRPr="00353FF8">
        <w:rPr>
          <w:i/>
          <w:iCs/>
        </w:rPr>
        <w:t>Per le aziende che rispettano i requisiti richiesti, il risparmio fiscale può risultare significativo. Tuttavia, è essenziale una pianificazione accurata per evitare il rischio di decadenza dall'agevolazione e la conseguente perdita del beneficio ottenuto. A tal fine, è disponibile un tool specifico nella banca dati del Sole 24 Ore, denominato MINI_IRES24. Di seguito, analizziamo il funzionamento della misura e come utilizzare il tool.</w:t>
      </w:r>
    </w:p>
    <w:p w14:paraId="2F8A8449" w14:textId="69BBDBEA" w:rsidR="005D58CD" w:rsidRDefault="005D58CD" w:rsidP="005D58CD">
      <w:pPr>
        <w:jc w:val="both"/>
        <w:rPr>
          <w:b/>
          <w:bCs/>
        </w:rPr>
      </w:pPr>
      <w:r w:rsidRPr="005D58CD">
        <w:rPr>
          <w:b/>
          <w:bCs/>
        </w:rPr>
        <w:t>Introduzione</w:t>
      </w:r>
    </w:p>
    <w:p w14:paraId="1B300B87" w14:textId="6FABDB68" w:rsidR="005D58CD" w:rsidRDefault="005D58CD" w:rsidP="005D58CD">
      <w:pPr>
        <w:jc w:val="both"/>
      </w:pPr>
      <w:r>
        <w:t>La Mini IRES 2025, conosciuta anche come IRES premiale, è stata introdotta con la Legge di Bilancio 2025 e rappresenta un’importante agevolazione fiscale per le imprese che reinvestono i propri utili in specifiche attività strategiche. Il beneficio si traduce in una riduzione dell’aliquota IRES dal 24% al 20%, con l’obiettivo di incentivare la crescita economica attraverso investimenti in beni strumentali e nuove assunzioni.</w:t>
      </w:r>
    </w:p>
    <w:p w14:paraId="62EECEB2" w14:textId="2F0D26C8" w:rsidR="005D58CD" w:rsidRDefault="005D58CD" w:rsidP="005D58CD">
      <w:pPr>
        <w:jc w:val="both"/>
      </w:pPr>
      <w:r>
        <w:t>L’agevolazione si applica esclusivamente ai soggetti IRES che rispettano determinate condizioni, tra cui l’accantonamento di almeno l’80% degli utili del 2024 in una specifica riserva patrimoniale. Inoltre, per accedere alla tassazione ridotta, le imprese devono destinare una parte di tali utili a investimenti in beni strumentali nuovi e garantire un incremento occupazionale nel 2025, mantenendo stabile il numero dei dipendenti già in forza.</w:t>
      </w:r>
    </w:p>
    <w:p w14:paraId="08E93982" w14:textId="2695A631" w:rsidR="005D58CD" w:rsidRDefault="005D58CD" w:rsidP="005D58CD">
      <w:pPr>
        <w:jc w:val="both"/>
      </w:pPr>
      <w:r>
        <w:t>Questa misura si inserisce nel più ampio contesto della riforma fiscale, che punta a favorire la competitività del sistema produttivo nazionale, sostenendo la digitalizzazione e l’innovazione attraverso Industria 4.0 e Transizione 5.0. Tuttavia, trattandosi di un regime fiscale premiale, la mancata osservanza dei requisiti previsti comporta la decadenza dal beneficio, con il conseguente obbligo di applicare l’aliquota ordinaria del 24%.</w:t>
      </w:r>
    </w:p>
    <w:p w14:paraId="032F5F6E" w14:textId="6D087114" w:rsidR="005D58CD" w:rsidRDefault="005D58CD" w:rsidP="005D58CD">
      <w:pPr>
        <w:jc w:val="both"/>
        <w:rPr>
          <w:b/>
          <w:bCs/>
        </w:rPr>
      </w:pPr>
      <w:r w:rsidRPr="005D58CD">
        <w:rPr>
          <w:b/>
          <w:bCs/>
        </w:rPr>
        <w:t>Requisiti per l’accesso alla Mini IRES</w:t>
      </w:r>
    </w:p>
    <w:p w14:paraId="4E3A028A" w14:textId="77777777" w:rsidR="00F33ADE" w:rsidRPr="00F33ADE" w:rsidRDefault="00F33ADE" w:rsidP="00F33ADE">
      <w:pPr>
        <w:jc w:val="both"/>
      </w:pPr>
      <w:r w:rsidRPr="00F33ADE">
        <w:t>L’accesso alla Mini IRES 2025 è subordinato al rispetto di specifiche condizioni, che riguardano sia la tipologia di soggetti beneficiari sia gli obblighi di accantonamento e investimento degli utili.</w:t>
      </w:r>
    </w:p>
    <w:p w14:paraId="43067616" w14:textId="0D8B9FB1" w:rsidR="00F33ADE" w:rsidRPr="00F33ADE" w:rsidRDefault="00F33ADE" w:rsidP="00F33ADE">
      <w:pPr>
        <w:jc w:val="both"/>
        <w:rPr>
          <w:b/>
          <w:bCs/>
        </w:rPr>
      </w:pPr>
      <w:r w:rsidRPr="00F33ADE">
        <w:rPr>
          <w:b/>
          <w:bCs/>
        </w:rPr>
        <w:t>Soggetti beneficiari</w:t>
      </w:r>
    </w:p>
    <w:p w14:paraId="26C10A40" w14:textId="263B10F6" w:rsidR="00F33ADE" w:rsidRPr="00F33ADE" w:rsidRDefault="00F33ADE" w:rsidP="00F33ADE">
      <w:pPr>
        <w:jc w:val="both"/>
      </w:pPr>
      <w:r w:rsidRPr="00F33ADE">
        <w:t>La riduzione dell’aliquota IRES al 20% è riservata ai soggetti passivi IRES indicati dall’art. 73 del TUIR, tra cui rientrano:</w:t>
      </w:r>
    </w:p>
    <w:p w14:paraId="6E6D6A94" w14:textId="77777777" w:rsidR="00F33ADE" w:rsidRDefault="00F33ADE" w:rsidP="00F33ADE">
      <w:pPr>
        <w:pStyle w:val="Paragrafoelenco"/>
        <w:numPr>
          <w:ilvl w:val="0"/>
          <w:numId w:val="1"/>
        </w:numPr>
        <w:jc w:val="both"/>
      </w:pPr>
      <w:r w:rsidRPr="00F33ADE">
        <w:t>le società di capitali (S.p.A., S.a.p.A., S.r.l.);</w:t>
      </w:r>
    </w:p>
    <w:p w14:paraId="12988B4E" w14:textId="77777777" w:rsidR="00F33ADE" w:rsidRDefault="00F33ADE" w:rsidP="00F33ADE">
      <w:pPr>
        <w:pStyle w:val="Paragrafoelenco"/>
        <w:numPr>
          <w:ilvl w:val="0"/>
          <w:numId w:val="1"/>
        </w:numPr>
        <w:jc w:val="both"/>
      </w:pPr>
      <w:r w:rsidRPr="00F33ADE">
        <w:t>le società cooperative e di mutua assicurazione;</w:t>
      </w:r>
    </w:p>
    <w:p w14:paraId="6F43251C" w14:textId="77777777" w:rsidR="00F33ADE" w:rsidRDefault="00F33ADE" w:rsidP="00F33ADE">
      <w:pPr>
        <w:pStyle w:val="Paragrafoelenco"/>
        <w:numPr>
          <w:ilvl w:val="0"/>
          <w:numId w:val="1"/>
        </w:numPr>
        <w:jc w:val="both"/>
      </w:pPr>
      <w:r w:rsidRPr="00F33ADE">
        <w:t>gli enti pubblici e privati con attività commerciale;</w:t>
      </w:r>
    </w:p>
    <w:p w14:paraId="33F3DE74" w14:textId="735DC45D" w:rsidR="00F33ADE" w:rsidRPr="00F33ADE" w:rsidRDefault="00F33ADE" w:rsidP="00F33ADE">
      <w:pPr>
        <w:pStyle w:val="Paragrafoelenco"/>
        <w:numPr>
          <w:ilvl w:val="0"/>
          <w:numId w:val="1"/>
        </w:numPr>
        <w:jc w:val="both"/>
      </w:pPr>
      <w:r w:rsidRPr="00F33ADE">
        <w:t>i trust con oggetto esclusivo o principale l’esercizio di attività d’impresa.</w:t>
      </w:r>
    </w:p>
    <w:p w14:paraId="2DA9E3B4" w14:textId="77777777" w:rsidR="00F33ADE" w:rsidRPr="00F33ADE" w:rsidRDefault="00F33ADE" w:rsidP="00F33ADE">
      <w:pPr>
        <w:jc w:val="both"/>
      </w:pPr>
      <w:r w:rsidRPr="00F33ADE">
        <w:lastRenderedPageBreak/>
        <w:t>Sono invece esclusi dal beneficio:</w:t>
      </w:r>
    </w:p>
    <w:p w14:paraId="28BEA55E" w14:textId="77777777" w:rsidR="00F33ADE" w:rsidRDefault="00F33ADE" w:rsidP="00F33ADE">
      <w:pPr>
        <w:pStyle w:val="Paragrafoelenco"/>
        <w:numPr>
          <w:ilvl w:val="0"/>
          <w:numId w:val="2"/>
        </w:numPr>
        <w:jc w:val="both"/>
      </w:pPr>
      <w:r w:rsidRPr="00F33ADE">
        <w:t>le società che applicano regimi forfetari di determinazione del reddito (ad esempio, tonnage tax);</w:t>
      </w:r>
    </w:p>
    <w:p w14:paraId="2DFB8C1D" w14:textId="77777777" w:rsidR="00F33ADE" w:rsidRDefault="00F33ADE" w:rsidP="00F33ADE">
      <w:pPr>
        <w:pStyle w:val="Paragrafoelenco"/>
        <w:numPr>
          <w:ilvl w:val="0"/>
          <w:numId w:val="2"/>
        </w:numPr>
        <w:jc w:val="both"/>
      </w:pPr>
      <w:r w:rsidRPr="00F33ADE">
        <w:t>le imprese in liquidazione o soggette a procedure concorsuali con finalità liquidatorie;</w:t>
      </w:r>
    </w:p>
    <w:p w14:paraId="1F45231B" w14:textId="1A93AA5E" w:rsidR="00F33ADE" w:rsidRPr="00F33ADE" w:rsidRDefault="00F33ADE" w:rsidP="00F33ADE">
      <w:pPr>
        <w:pStyle w:val="Paragrafoelenco"/>
        <w:numPr>
          <w:ilvl w:val="0"/>
          <w:numId w:val="2"/>
        </w:numPr>
        <w:jc w:val="both"/>
      </w:pPr>
      <w:r w:rsidRPr="00F33ADE">
        <w:t>le società costituite nel 2025, in quanto prive dell’utile 2024 su cui operare l’accantonamento richiesto.</w:t>
      </w:r>
    </w:p>
    <w:p w14:paraId="3A608139" w14:textId="77777777" w:rsidR="00F33ADE" w:rsidRPr="00F33ADE" w:rsidRDefault="00F33ADE" w:rsidP="00F33ADE">
      <w:pPr>
        <w:jc w:val="both"/>
        <w:rPr>
          <w:b/>
          <w:bCs/>
        </w:rPr>
      </w:pPr>
      <w:r w:rsidRPr="00F33ADE">
        <w:rPr>
          <w:b/>
          <w:bCs/>
        </w:rPr>
        <w:t>Accantonamento minimo dell’utile 2024</w:t>
      </w:r>
    </w:p>
    <w:p w14:paraId="33AC3715" w14:textId="1E7386ED" w:rsidR="0088682C" w:rsidRDefault="0088682C" w:rsidP="00F33ADE">
      <w:pPr>
        <w:jc w:val="both"/>
      </w:pPr>
      <w:r w:rsidRPr="0088682C">
        <w:t xml:space="preserve">Per poter accedere alla Mini IRES, è necessario che almeno l’80% dell’utile d’esercizio 2024 venga destinato a un’apposita riserva patrimoniale, vincolata per almeno due anni: in questo modo il risparmio fiscale risulta connesso a una reale capitalizzazione </w:t>
      </w:r>
      <w:r w:rsidRPr="00353FF8">
        <w:t xml:space="preserve">dell’impresa. </w:t>
      </w:r>
      <w:r w:rsidR="00353FF8" w:rsidRPr="00353FF8">
        <w:t xml:space="preserve">Dal tenore letterale della legge non si capisce se la riserva debba essere disponibile, solo che deve essere costituita. </w:t>
      </w:r>
      <w:r w:rsidR="00353FF8">
        <w:t xml:space="preserve">Resta pertanto il dubbio della sorte </w:t>
      </w:r>
      <w:r w:rsidR="001C3DEF">
        <w:t xml:space="preserve">degli </w:t>
      </w:r>
      <w:r w:rsidR="00353FF8" w:rsidRPr="00353FF8">
        <w:t>utili non distribuiti</w:t>
      </w:r>
      <w:r w:rsidR="001C3DEF">
        <w:t xml:space="preserve"> derivanti da</w:t>
      </w:r>
      <w:r w:rsidR="00353FF8" w:rsidRPr="00353FF8">
        <w:t xml:space="preserve"> riserve obbligatorie (come la riserva legale o per utili)</w:t>
      </w:r>
      <w:r w:rsidR="001C3DEF">
        <w:t xml:space="preserve"> che sembrerebbe non concorrano all’80%.</w:t>
      </w:r>
    </w:p>
    <w:p w14:paraId="222950A2" w14:textId="51DD5900" w:rsidR="00F33ADE" w:rsidRPr="00F33ADE" w:rsidRDefault="00F33ADE" w:rsidP="00F33ADE">
      <w:pPr>
        <w:jc w:val="both"/>
      </w:pPr>
      <w:r w:rsidRPr="00F33ADE">
        <w:t>Le società che chiudono il 2024 in perdita non possono beneficiare dell’agevolazione, mentre resta da chiarire se l’accantonamento possa essere effettuato anche attraverso altre riserve disponibili, come la riserva straordinaria.</w:t>
      </w:r>
    </w:p>
    <w:p w14:paraId="787CFAAA" w14:textId="77777777" w:rsidR="00F33ADE" w:rsidRPr="00F33ADE" w:rsidRDefault="00F33ADE" w:rsidP="00F33ADE">
      <w:pPr>
        <w:jc w:val="both"/>
        <w:rPr>
          <w:b/>
          <w:bCs/>
        </w:rPr>
      </w:pPr>
      <w:r w:rsidRPr="00F33ADE">
        <w:rPr>
          <w:b/>
          <w:bCs/>
        </w:rPr>
        <w:t>Investimenti in beni strumentali nuovi</w:t>
      </w:r>
    </w:p>
    <w:p w14:paraId="6DA94FB4" w14:textId="77777777" w:rsidR="00F33ADE" w:rsidRPr="00F33ADE" w:rsidRDefault="00F33ADE" w:rsidP="00F33ADE">
      <w:pPr>
        <w:jc w:val="both"/>
      </w:pPr>
      <w:r w:rsidRPr="00F33ADE">
        <w:t>Un ulteriore requisito per l’accesso alla tassazione ridotta è l’effettuazione di investimenti in beni strumentali nuovi destinati a strutture produttive ubicate in Italia. Gli investimenti devono riguardare beni materiali e immateriali connessi ai processi di Industria 4.0 e Transizione 5.0, come definiti nelle tabelle allegate alla Legge di Bilancio.</w:t>
      </w:r>
    </w:p>
    <w:p w14:paraId="71235D80" w14:textId="77777777" w:rsidR="00F33ADE" w:rsidRPr="00F33ADE" w:rsidRDefault="00F33ADE" w:rsidP="00F33ADE">
      <w:pPr>
        <w:jc w:val="both"/>
      </w:pPr>
      <w:r w:rsidRPr="00F33ADE">
        <w:t>L’ammontare degli investimenti deve essere almeno pari al maggiore tra:</w:t>
      </w:r>
    </w:p>
    <w:p w14:paraId="0BD81715" w14:textId="77777777" w:rsidR="00F33ADE" w:rsidRPr="00F33ADE" w:rsidRDefault="00F33ADE" w:rsidP="00F33ADE">
      <w:pPr>
        <w:pStyle w:val="Paragrafoelenco"/>
        <w:numPr>
          <w:ilvl w:val="0"/>
          <w:numId w:val="3"/>
        </w:numPr>
        <w:jc w:val="both"/>
      </w:pPr>
      <w:r w:rsidRPr="00F33ADE">
        <w:t>il 30% dell’utile accantonato nella riserva vincolata;</w:t>
      </w:r>
    </w:p>
    <w:p w14:paraId="7BFA28B6" w14:textId="77777777" w:rsidR="00F33ADE" w:rsidRPr="00F33ADE" w:rsidRDefault="00F33ADE" w:rsidP="00F33ADE">
      <w:pPr>
        <w:pStyle w:val="Paragrafoelenco"/>
        <w:numPr>
          <w:ilvl w:val="0"/>
          <w:numId w:val="3"/>
        </w:numPr>
        <w:jc w:val="both"/>
      </w:pPr>
      <w:r w:rsidRPr="00F33ADE">
        <w:t>il 24% dell’utile d’esercizio 2023.</w:t>
      </w:r>
    </w:p>
    <w:p w14:paraId="46F8D523" w14:textId="77777777" w:rsidR="00F33ADE" w:rsidRPr="00F33ADE" w:rsidRDefault="00F33ADE" w:rsidP="00F33ADE">
      <w:pPr>
        <w:jc w:val="both"/>
      </w:pPr>
      <w:r w:rsidRPr="00F33ADE">
        <w:t>Gli acquisti devono essere completati entro il termine di presentazione della dichiarazione dei redditi relativa al 2025, quindi entro il 31 ottobre 2026 per i soggetti con esercizio coincidente con l’anno solare.</w:t>
      </w:r>
    </w:p>
    <w:p w14:paraId="7BBC790C" w14:textId="77777777" w:rsidR="00F33ADE" w:rsidRPr="00F33ADE" w:rsidRDefault="00F33ADE" w:rsidP="00F33ADE">
      <w:pPr>
        <w:jc w:val="both"/>
        <w:rPr>
          <w:b/>
          <w:bCs/>
        </w:rPr>
      </w:pPr>
      <w:r w:rsidRPr="00F33ADE">
        <w:rPr>
          <w:b/>
          <w:bCs/>
        </w:rPr>
        <w:t>Incremento e mantenimento dell’occupazione</w:t>
      </w:r>
    </w:p>
    <w:p w14:paraId="087CA970" w14:textId="77777777" w:rsidR="00F33ADE" w:rsidRPr="00F33ADE" w:rsidRDefault="00F33ADE" w:rsidP="00F33ADE">
      <w:pPr>
        <w:jc w:val="both"/>
      </w:pPr>
      <w:r w:rsidRPr="00F33ADE">
        <w:t>Oltre agli obblighi di investimento, le imprese devono garantire un incremento occupazionale nel 2025. In particolare, devono:</w:t>
      </w:r>
    </w:p>
    <w:p w14:paraId="55104008" w14:textId="77777777" w:rsidR="00F33ADE" w:rsidRDefault="00F33ADE" w:rsidP="00F33ADE">
      <w:pPr>
        <w:pStyle w:val="Paragrafoelenco"/>
        <w:numPr>
          <w:ilvl w:val="0"/>
          <w:numId w:val="4"/>
        </w:numPr>
        <w:jc w:val="both"/>
      </w:pPr>
      <w:r w:rsidRPr="00F33ADE">
        <w:t>assicurare che il numero di dipendenti a tempo indeterminato non sia inferiore alla media occupazionale registrata nel triennio 2022-2024;</w:t>
      </w:r>
    </w:p>
    <w:p w14:paraId="09CF0C04" w14:textId="14ECA204" w:rsidR="00F33ADE" w:rsidRPr="00F33ADE" w:rsidRDefault="00F33ADE" w:rsidP="00F33ADE">
      <w:pPr>
        <w:pStyle w:val="Paragrafoelenco"/>
        <w:numPr>
          <w:ilvl w:val="0"/>
          <w:numId w:val="4"/>
        </w:numPr>
        <w:jc w:val="both"/>
      </w:pPr>
      <w:r w:rsidRPr="00F33ADE">
        <w:t>effettuare nuove assunzioni di lavoratori a tempo indeterminato pari ad almeno l’1% della forza lavoro mediamente occupata nel 2024, con un minimo di un’unità aggiuntiva.</w:t>
      </w:r>
    </w:p>
    <w:p w14:paraId="670CB0A5" w14:textId="77777777" w:rsidR="00F33ADE" w:rsidRPr="00F33ADE" w:rsidRDefault="00F33ADE" w:rsidP="00F33ADE">
      <w:pPr>
        <w:jc w:val="both"/>
      </w:pPr>
      <w:r w:rsidRPr="00F33ADE">
        <w:t>Inoltre, non devono essere stati utilizzati ammortizzatori sociali, come la Cassa Integrazione Guadagni (CIG), salvo nei casi di eventi transitori non imputabili all’impresa.</w:t>
      </w:r>
    </w:p>
    <w:p w14:paraId="75D90922" w14:textId="2563807B" w:rsidR="005D58CD" w:rsidRDefault="00F33ADE" w:rsidP="00F33ADE">
      <w:pPr>
        <w:jc w:val="both"/>
      </w:pPr>
      <w:r w:rsidRPr="00F33ADE">
        <w:t>Il rispetto di questi requisiti è fondamentale per l’applicazione della Mini IRES. La mancata osservanza di uno solo degli obblighi previsti comporta la decadenza dell’agevolazione e il ricalcolo dell’imposta con l’aliquota ordinaria del 24%.</w:t>
      </w:r>
    </w:p>
    <w:p w14:paraId="1BDA34E4" w14:textId="45AED3FA" w:rsidR="00EE7CA4" w:rsidRDefault="00EE7CA4" w:rsidP="00EE7CA4">
      <w:pPr>
        <w:jc w:val="both"/>
      </w:pPr>
      <w:r w:rsidRPr="00EE7CA4">
        <w:lastRenderedPageBreak/>
        <w:t xml:space="preserve">Una volta definiti i requisiti necessari per accedere alla Mini IRES, possiamo esaminare, tramite l’apposito strumento </w:t>
      </w:r>
      <w:r w:rsidRPr="00EE7CA4">
        <w:rPr>
          <w:i/>
          <w:iCs/>
        </w:rPr>
        <w:t>MINI IRES</w:t>
      </w:r>
      <w:r w:rsidRPr="00EE7CA4">
        <w:t>, le principali fasi del processo: dall’inserimento dei dati di input al calcolo automatico dei requisiti e del risparmio fiscale.</w:t>
      </w:r>
    </w:p>
    <w:p w14:paraId="7C98B5FD" w14:textId="78AD933B" w:rsidR="0012347E" w:rsidRDefault="00071C31" w:rsidP="0012347E">
      <w:pPr>
        <w:keepNext/>
        <w:jc w:val="both"/>
      </w:pPr>
      <w:r w:rsidRPr="00071C31">
        <w:rPr>
          <w:noProof/>
        </w:rPr>
        <w:drawing>
          <wp:inline distT="0" distB="0" distL="0" distR="0" wp14:anchorId="35F623D0" wp14:editId="1BD421DA">
            <wp:extent cx="6120130" cy="4554220"/>
            <wp:effectExtent l="0" t="0" r="0" b="0"/>
            <wp:docPr id="1350439419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39419" name="Immagine 1" descr="Immagine che contiene testo, schermata, Carattere, numero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CE7B" w14:textId="11BF82EC" w:rsidR="00EE7CA4" w:rsidRDefault="0012347E" w:rsidP="0012347E">
      <w:pPr>
        <w:pStyle w:val="Didascalia"/>
        <w:jc w:val="both"/>
      </w:pPr>
      <w:r>
        <w:t xml:space="preserve">Figura </w:t>
      </w:r>
      <w:fldSimple w:instr=" SEQ Figura \* ARABIC ">
        <w:r w:rsidR="00071C31">
          <w:rPr>
            <w:noProof/>
          </w:rPr>
          <w:t>1</w:t>
        </w:r>
      </w:fldSimple>
      <w:r>
        <w:t>: Dati Input e Requisiti</w:t>
      </w:r>
    </w:p>
    <w:p w14:paraId="759CD74B" w14:textId="77777777" w:rsidR="00071C31" w:rsidRDefault="00071C31" w:rsidP="00071C31">
      <w:pPr>
        <w:rPr>
          <w:b/>
          <w:bCs/>
        </w:rPr>
      </w:pPr>
    </w:p>
    <w:p w14:paraId="2DB8CD59" w14:textId="5F55B20F" w:rsidR="00071C31" w:rsidRPr="00071C31" w:rsidRDefault="00071C31" w:rsidP="00071C31">
      <w:pPr>
        <w:rPr>
          <w:b/>
          <w:bCs/>
        </w:rPr>
      </w:pPr>
      <w:r w:rsidRPr="00071C31">
        <w:rPr>
          <w:b/>
          <w:bCs/>
        </w:rPr>
        <w:t>Modalità di calcolo dell’agevolazione e cause di decadenza</w:t>
      </w:r>
    </w:p>
    <w:p w14:paraId="25AA91CC" w14:textId="77777777" w:rsidR="00071C31" w:rsidRDefault="00071C31" w:rsidP="001C3DEF">
      <w:pPr>
        <w:jc w:val="both"/>
      </w:pPr>
      <w:r>
        <w:t>L’accesso alla Mini IRES 2025 consente l’applicazione dell’aliquota ridotta del 20%, in luogo di quella ordinaria del 24%, su una porzione del reddito imponibile determinata in base a specifici parametri. Il calcolo dell’agevolazione si basa sulla verifica congiunta di tre condizioni essenziali: l’accantonamento minimo dell’utile 2024, il reinvestimento in beni strumentali nuovi e l’incremento occupazionale.</w:t>
      </w:r>
    </w:p>
    <w:p w14:paraId="4209E215" w14:textId="767F84F6" w:rsidR="00071C31" w:rsidRDefault="00071C31" w:rsidP="001C3DEF">
      <w:pPr>
        <w:jc w:val="both"/>
      </w:pPr>
      <w:r>
        <w:t>Il risparmio fiscale è calcolato come differenza tra l’imposta teorica con l’aliquota ordinaria del 24% e quella effettivamente dovuta con l’aliquota ridotta del 20%</w:t>
      </w:r>
      <w:r w:rsidR="001C3DEF">
        <w:t xml:space="preserve"> traducendosi di fatto in un risparmio pari al 4% sulla quota di utili agevolati.</w:t>
      </w:r>
    </w:p>
    <w:p w14:paraId="0925BA86" w14:textId="77777777" w:rsidR="00071C31" w:rsidRDefault="00071C31" w:rsidP="00071C31">
      <w:pPr>
        <w:keepNext/>
      </w:pPr>
      <w:r w:rsidRPr="00071C31">
        <w:rPr>
          <w:noProof/>
        </w:rPr>
        <w:drawing>
          <wp:inline distT="0" distB="0" distL="0" distR="0" wp14:anchorId="79B4F682" wp14:editId="5E3FAB02">
            <wp:extent cx="6120130" cy="986790"/>
            <wp:effectExtent l="0" t="0" r="0" b="3810"/>
            <wp:docPr id="65275443" name="Immagine 1" descr="Immagine che contiene testo, schermata, line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5443" name="Immagine 1" descr="Immagine che contiene testo, schermata, linea, Carattere&#10;&#10;Descrizione generat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8D87" w14:textId="5A66E1A1" w:rsidR="00071C31" w:rsidRDefault="00071C31" w:rsidP="00071C31">
      <w:pPr>
        <w:pStyle w:val="Didascalia"/>
      </w:pPr>
      <w:r>
        <w:t xml:space="preserve">Figura </w:t>
      </w:r>
      <w:fldSimple w:instr=" SEQ Figura \* ARABIC ">
        <w:r>
          <w:rPr>
            <w:noProof/>
          </w:rPr>
          <w:t>2</w:t>
        </w:r>
      </w:fldSimple>
      <w:r>
        <w:t>: Il calcolo del risparmio fiscale</w:t>
      </w:r>
    </w:p>
    <w:p w14:paraId="7497398E" w14:textId="13312499" w:rsidR="0012347E" w:rsidRDefault="00071C31" w:rsidP="001C3DEF">
      <w:pPr>
        <w:jc w:val="both"/>
      </w:pPr>
      <w:r>
        <w:lastRenderedPageBreak/>
        <w:t>Tuttavia, la fruizione dell’agevolazione è subordinata al mantenimento delle condizioni richieste per un periodo prestabilito. Il mancato rispetto di uno solo dei requisiti previsti comporta la decadenza dal beneficio, con la conseguente applicazione dell’aliquota ordinaria e l’eventuale recupero delle imposte non versate.</w:t>
      </w:r>
    </w:p>
    <w:p w14:paraId="28533A1F" w14:textId="1BE984E4" w:rsidR="00071C31" w:rsidRDefault="00071C31" w:rsidP="001C3DEF">
      <w:pPr>
        <w:jc w:val="both"/>
      </w:pPr>
      <w:r w:rsidRPr="00071C31">
        <w:t>La Mini IRES 2025 offre un’opportunità fiscale rilevante per le imprese che scelgono di reinvestire i propri utili in innovazione e crescita occupazionale. Tuttavia, la rigidità dei requisiti e il rischio di decadenza impongono una gestione attenta e strategica. Le aziende interessate devono valutare con precisione la sostenibilità degli accantonamenti, la capacità di rispettare gli obblighi di investimento e l’impatto dell’incremento occupazionale. Solo attraverso un’accurata pianificazione sarà possibile massimizzare il beneficio fiscale, evitando il rischio di revoca e garantendo un vantaggio competitivo duraturo.</w:t>
      </w:r>
    </w:p>
    <w:p w14:paraId="02FCBBBE" w14:textId="77777777" w:rsidR="00071C31" w:rsidRPr="0012347E" w:rsidRDefault="00071C31" w:rsidP="0012347E"/>
    <w:sectPr w:rsidR="00071C31" w:rsidRPr="0012347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A3600"/>
    <w:multiLevelType w:val="hybridMultilevel"/>
    <w:tmpl w:val="C250F54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E91DB1"/>
    <w:multiLevelType w:val="hybridMultilevel"/>
    <w:tmpl w:val="B49EA6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F64C46"/>
    <w:multiLevelType w:val="hybridMultilevel"/>
    <w:tmpl w:val="9B28BF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524286"/>
    <w:multiLevelType w:val="hybridMultilevel"/>
    <w:tmpl w:val="A52AC9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6576597">
    <w:abstractNumId w:val="2"/>
  </w:num>
  <w:num w:numId="2" w16cid:durableId="170461197">
    <w:abstractNumId w:val="0"/>
  </w:num>
  <w:num w:numId="3" w16cid:durableId="1227229455">
    <w:abstractNumId w:val="1"/>
  </w:num>
  <w:num w:numId="4" w16cid:durableId="5131571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8CD"/>
    <w:rsid w:val="00071C31"/>
    <w:rsid w:val="0012347E"/>
    <w:rsid w:val="001C3DEF"/>
    <w:rsid w:val="00353FF8"/>
    <w:rsid w:val="003904B8"/>
    <w:rsid w:val="005C042D"/>
    <w:rsid w:val="005D58CD"/>
    <w:rsid w:val="00635765"/>
    <w:rsid w:val="0088682C"/>
    <w:rsid w:val="008A75FA"/>
    <w:rsid w:val="00A667A4"/>
    <w:rsid w:val="00C81BC4"/>
    <w:rsid w:val="00CB688C"/>
    <w:rsid w:val="00EE7CA4"/>
    <w:rsid w:val="00F3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FF0BA"/>
  <w15:chartTrackingRefBased/>
  <w15:docId w15:val="{335CF5AF-1652-49D5-A30A-4A44C5D15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D5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D5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D5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D5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D5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D5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D5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D5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D5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D5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D5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D5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D58C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D58C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D58C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D58C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D58C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D58C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D5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D5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D5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D5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D5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D58C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D58C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D58C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D5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D58C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D58CD"/>
    <w:rPr>
      <w:b/>
      <w:bCs/>
      <w:smallCaps/>
      <w:color w:val="0F4761" w:themeColor="accent1" w:themeShade="BF"/>
      <w:spacing w:val="5"/>
    </w:rPr>
  </w:style>
  <w:style w:type="paragraph" w:styleId="Didascalia">
    <w:name w:val="caption"/>
    <w:basedOn w:val="Normale"/>
    <w:next w:val="Normale"/>
    <w:uiPriority w:val="35"/>
    <w:unhideWhenUsed/>
    <w:qFormat/>
    <w:rsid w:val="0012347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2E3232-43A9-49F7-BD81-FA6EC4356B73}"/>
</file>

<file path=customXml/itemProps2.xml><?xml version="1.0" encoding="utf-8"?>
<ds:datastoreItem xmlns:ds="http://schemas.openxmlformats.org/officeDocument/2006/customXml" ds:itemID="{46CA2EAF-FC20-477B-9560-09D9F89E83C7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customXml/itemProps3.xml><?xml version="1.0" encoding="utf-8"?>
<ds:datastoreItem xmlns:ds="http://schemas.openxmlformats.org/officeDocument/2006/customXml" ds:itemID="{C7032DED-ADCC-44AD-9605-AD0FB4E033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1203</Words>
  <Characters>6863</Characters>
  <Application>Microsoft Office Word</Application>
  <DocSecurity>0</DocSecurity>
  <Lines>57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Pastore</dc:creator>
  <cp:keywords/>
  <dc:description/>
  <cp:lastModifiedBy>Alessandro Mattavelli</cp:lastModifiedBy>
  <cp:revision>3</cp:revision>
  <dcterms:created xsi:type="dcterms:W3CDTF">2025-02-03T10:21:00Z</dcterms:created>
  <dcterms:modified xsi:type="dcterms:W3CDTF">2025-02-11T11:00:00Z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