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i w:val="0"/>
          <w:color w:val="787878"/>
          <w:sz w:val="16"/>
        </w:rPr>
        <w:t>INNOVAZIONE DIGITALE  |  INTELLIGENZA ARTIFICIALE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1E1E1E"/>
          <w:sz w:val="44"/>
        </w:rPr>
        <w:t>Agenti AI:</w:t>
        <w:br/>
        <w:t>la nuova frontiera per studi professionali e imprese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3C3C3C"/>
          <w:sz w:val="24"/>
        </w:rPr>
        <w:t>Oltre i chatbot: i sistemi multi-agente stanno ridisegnando processi, competenze e modelli di business nel mondo dei professionisti e delle PMI.</w:t>
      </w:r>
    </w:p>
    <w:p>
      <w:pPr>
        <w:spacing w:before="0" w:after="280"/>
        <w:jc w:val="left"/>
      </w:pPr>
      <w:r>
        <w:rPr>
          <w:rFonts w:ascii="Calibri" w:hAnsi="Calibri"/>
          <w:b w:val="0"/>
          <w:i/>
          <w:color w:val="646464"/>
          <w:sz w:val="18"/>
        </w:rPr>
        <w:t>di Alberto Mattavelli  |  Consulente in innovazione digitale e AI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5AA0"/>
          <w:sz w:val="16"/>
        </w:rPr>
        <w:t>IN SINTESI</w:t>
      </w:r>
    </w:p>
    <w:p>
      <w:pPr>
        <w:spacing w:before="0" w:after="320"/>
        <w:ind w:left="283" w:right="283"/>
        <w:jc w:val="left"/>
      </w:pPr>
      <w:r>
        <w:rPr>
          <w:rFonts w:ascii="Calibri" w:hAnsi="Calibri"/>
          <w:b w:val="0"/>
          <w:i/>
          <w:color w:val="282828"/>
          <w:sz w:val="20"/>
        </w:rPr>
        <w:t>Gli agenti di intelligenza artificiale rappresentano un cambio di paradigma rispetto ai tradizionali strumenti AI generativi. Non si limitano a rispondere a domande: pianificano, ragionano, delegano subtask e interagiscono con sistemi esterni per raggiungere obiettivi complessi in modo autonomo. Per studi professionali e aziende, la posta in gioco non è solo l'efficienza operativa: è la ridefinizione stessa del valore della consulenza.</w:t>
      </w:r>
    </w:p>
    <w:p>
      <w:pPr>
        <w:spacing w:before="320" w:after="120"/>
        <w:jc w:val="left"/>
      </w:pPr>
      <w:r>
        <w:rPr>
          <w:rFonts w:ascii="Calibri" w:hAnsi="Calibri"/>
          <w:b/>
          <w:i w:val="0"/>
          <w:color w:val="005AA0"/>
          <w:sz w:val="26"/>
        </w:rPr>
        <w:t>1. Dal prompt all'agente: un salto qualitativo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Fino a poco tempo fa, quando si parlava di intelligenza artificiale in azienda o in uno studio professionale, si intendeva essenzialmente un assistente testuale avanzato: si poneva una domanda, si otteneva una risposta. Utile, ma intrinsecamente passivo. Gli agenti AI segnano una discontinuità radicale.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Un agente AI è un sistema software capace di perseguire obiettivi in modo autonomo: scompone un compito in passi, utilizza strumenti esterni (database, API, software gestionali, browser), valuta i risultati intermedi e riadatta la strategia. In altri termini, non risponde soltanto — agisce.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Nel 2025 i principali fornitori di piattaforme — OpenAI, Google, Anthropic, Microsoft e una miriade di startup — hanno rilasciato framework per la costruzione di agenti: AutoGen, CrewAI, LangGraph, Claude Agent SDK, Google ADK. Nel 2026 questi strumenti sono già maturi e presenti nei contesti produttivi di medie e grandi organizzazioni. La domanda per studi e imprese non è più «se» adottarli, ma «come» farlo in modo consapevole.</w:t>
      </w:r>
    </w:p>
    <w:p>
      <w:pPr>
        <w:spacing w:before="240" w:after="240"/>
        <w:ind w:left="850" w:right="850"/>
        <w:jc w:val="center"/>
      </w:pPr>
      <w:r>
        <w:rPr>
          <w:rFonts w:ascii="Calibri" w:hAnsi="Calibri"/>
          <w:b w:val="0"/>
          <w:i/>
          <w:color w:val="005AA0"/>
          <w:sz w:val="24"/>
        </w:rPr>
        <w:t>“L'agente AI non risponde soltanto: pianifica, decide e agisce, delegando subtask ad altri agenti specializzati e interagendo con i sistemi informativi aziendali.”</w:t>
      </w:r>
    </w:p>
    <w:p>
      <w:pPr>
        <w:spacing w:before="320" w:after="120"/>
        <w:jc w:val="left"/>
      </w:pPr>
      <w:r>
        <w:rPr>
          <w:rFonts w:ascii="Calibri" w:hAnsi="Calibri"/>
          <w:b/>
          <w:i w:val="0"/>
          <w:color w:val="005AA0"/>
          <w:sz w:val="26"/>
        </w:rPr>
        <w:t>2. Architettura multi-agente: cosa cambia nella pratica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Nei sistemi più evoluti non esiste un singolo agente tuttofare, bensì una rete di agenti specializzati orchestrati da un agente coordinatore. Un esempio concreto in ambito contabile-fiscale potrebbe essere: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Agente di estrazione dati:</w:t>
      </w:r>
      <w:r>
        <w:rPr>
          <w:rFonts w:ascii="Calibri" w:hAnsi="Calibri"/>
          <w:b w:val="0"/>
          <w:i w:val="0"/>
          <w:sz w:val="22"/>
        </w:rPr>
        <w:t xml:space="preserve"> raccoglie e normalizza informazioni da fatture, estratti conto e documenti gestionali.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Agente di analisi:</w:t>
      </w:r>
      <w:r>
        <w:rPr>
          <w:rFonts w:ascii="Calibri" w:hAnsi="Calibri"/>
          <w:b w:val="0"/>
          <w:i w:val="0"/>
          <w:sz w:val="22"/>
        </w:rPr>
        <w:t xml:space="preserve"> verifica coerenze, segnala anomalie, confronta KPI con benchmark di settore.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Agente normativo:</w:t>
      </w:r>
      <w:r>
        <w:rPr>
          <w:rFonts w:ascii="Calibri" w:hAnsi="Calibri"/>
          <w:b w:val="0"/>
          <w:i w:val="0"/>
          <w:sz w:val="22"/>
        </w:rPr>
        <w:t xml:space="preserve"> consulta le fonti aggiornate (circolari Agenzia delle Entrate, Gazzetta Ufficiale, OIC) e verifica la conformità.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Agente di reporting:</w:t>
      </w:r>
      <w:r>
        <w:rPr>
          <w:rFonts w:ascii="Calibri" w:hAnsi="Calibri"/>
          <w:b w:val="0"/>
          <w:i w:val="0"/>
          <w:sz w:val="22"/>
        </w:rPr>
        <w:t xml:space="preserve"> redige bozze di relazioni, note integrative o comunicazioni al cliente.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Agente orchestratore:</w:t>
      </w:r>
      <w:r>
        <w:rPr>
          <w:rFonts w:ascii="Calibri" w:hAnsi="Calibri"/>
          <w:b w:val="0"/>
          <w:i w:val="0"/>
          <w:sz w:val="22"/>
        </w:rPr>
        <w:t xml:space="preserve"> coordina i precedenti, gestisce le eccezioni e coinvolge il professionista umano nelle decisioni ad alto valore o ambigue.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Il professionista interviene nelle fasi che richiedono giudizio, responsabilità e relazione: non scompare dalla catena del valore, ma si concentra sul livello più alto di essa.</w:t>
      </w:r>
    </w:p>
    <w:p>
      <w:pPr>
        <w:spacing w:before="320" w:after="120"/>
        <w:jc w:val="left"/>
      </w:pPr>
      <w:r>
        <w:rPr>
          <w:rFonts w:ascii="Calibri" w:hAnsi="Calibri"/>
          <w:b/>
          <w:i w:val="0"/>
          <w:color w:val="005AA0"/>
          <w:sz w:val="26"/>
        </w:rPr>
        <w:t>3. Applicazioni concrete per studi professionali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Per commercialisti, consulenti del lavoro, avvocati d'impresa e revisori, le applicazioni più immediate riguardano quattro aree: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Analisi di bilancio automatizzata:</w:t>
      </w:r>
      <w:r>
        <w:rPr>
          <w:rFonts w:ascii="Calibri" w:hAnsi="Calibri"/>
          <w:b w:val="0"/>
          <w:i w:val="0"/>
          <w:sz w:val="22"/>
        </w:rPr>
        <w:t xml:space="preserve"> lettura, riclassificazione e commento di bilanci in pochi minuti, con segnalazione automatica degli indici critici.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Due diligence documentale:</w:t>
      </w:r>
      <w:r>
        <w:rPr>
          <w:rFonts w:ascii="Calibri" w:hAnsi="Calibri"/>
          <w:b w:val="0"/>
          <w:i w:val="0"/>
          <w:sz w:val="22"/>
        </w:rPr>
        <w:t xml:space="preserve"> analisi massiva di contratti, visure, atti notarili per l'individuazione di clausole rilevanti o rischi latenti.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Monitoraggio fiscale continuativo:</w:t>
      </w:r>
      <w:r>
        <w:rPr>
          <w:rFonts w:ascii="Calibri" w:hAnsi="Calibri"/>
          <w:b w:val="0"/>
          <w:i w:val="0"/>
          <w:sz w:val="22"/>
        </w:rPr>
        <w:t xml:space="preserve"> aggiornamento in tempo reale sulle scadenze, sulle novità normative e sugli impatti per ciascun cliente.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Redazione assistita di atti e comunicazioni:</w:t>
      </w:r>
      <w:r>
        <w:rPr>
          <w:rFonts w:ascii="Calibri" w:hAnsi="Calibri"/>
          <w:b w:val="0"/>
          <w:i w:val="0"/>
          <w:sz w:val="22"/>
        </w:rPr>
        <w:t xml:space="preserve"> bozze di istanze, ricorsi, relazioni di stima, lettere di incarico — riviste e validate dal professionista.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Il guadagno di produttività stimato da diversi studi di settore oscilla tra il 30% e il 50% per le attività di back-office, con punte superiori nelle fasi di raccolta e normalizzazione dei dati.</w:t>
      </w:r>
    </w:p>
    <w:p>
      <w:pPr>
        <w:spacing w:before="80" w:after="80"/>
        <w:ind w:left="283"/>
        <w:jc w:val="left"/>
      </w:pPr>
      <w:r>
        <w:rPr>
          <w:rFonts w:ascii="Calibri" w:hAnsi="Calibri"/>
          <w:b w:val="0"/>
          <w:i w:val="0"/>
          <w:color w:val="505050"/>
          <w:sz w:val="18"/>
        </w:rPr>
        <w:t>► Attenzione: il risparmio di tempo ha valore solo se riorientato verso attività a maggiore valore aggiunto — consulenza strategica, presidio della relazione, sviluppo commerciale.</w:t>
      </w:r>
    </w:p>
    <w:p>
      <w:pPr>
        <w:spacing w:before="320" w:after="120"/>
        <w:jc w:val="left"/>
      </w:pPr>
      <w:r>
        <w:rPr>
          <w:rFonts w:ascii="Calibri" w:hAnsi="Calibri"/>
          <w:b/>
          <w:i w:val="0"/>
          <w:color w:val="005AA0"/>
          <w:sz w:val="26"/>
        </w:rPr>
        <w:t>4. Imprese: dall'automazione di processo all'intelligenza operativa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Per le aziende — in particolare le PMI che ancora faticano a strutturare processi digitali di base — gli agenti AI offrono una leva straordinaria, a condizione di affrontare il tema con metodo.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Le aree di maggiore impatto operativo includono: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Ciclo attivo e passivo:</w:t>
      </w:r>
      <w:r>
        <w:rPr>
          <w:rFonts w:ascii="Calibri" w:hAnsi="Calibri"/>
          <w:b w:val="0"/>
          <w:i w:val="0"/>
          <w:sz w:val="22"/>
        </w:rPr>
        <w:t xml:space="preserve"> riconciliazione automatica, gestione eccezioni, comunicazioni ai fornitori e ai clienti.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Controllo di gestione in tempo reale:</w:t>
      </w:r>
      <w:r>
        <w:rPr>
          <w:rFonts w:ascii="Calibri" w:hAnsi="Calibri"/>
          <w:b w:val="0"/>
          <w:i w:val="0"/>
          <w:sz w:val="22"/>
        </w:rPr>
        <w:t xml:space="preserve"> monitoraggio continuo di margini, scostamenti, cash flow previsto.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Gestione del personale:</w:t>
      </w:r>
      <w:r>
        <w:rPr>
          <w:rFonts w:ascii="Calibri" w:hAnsi="Calibri"/>
          <w:b w:val="0"/>
          <w:i w:val="0"/>
          <w:sz w:val="22"/>
        </w:rPr>
        <w:t xml:space="preserve"> onboarding documentale, monitoraggio scadenze contrattuali, supporto alle richieste HR.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Intelligenza commerciale:</w:t>
      </w:r>
      <w:r>
        <w:rPr>
          <w:rFonts w:ascii="Calibri" w:hAnsi="Calibri"/>
          <w:b w:val="0"/>
          <w:i w:val="0"/>
          <w:sz w:val="22"/>
        </w:rPr>
        <w:t xml:space="preserve"> analisi del mercato, monitoraggio dei concorrenti, scoring dei lead, redazione di offerte.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Un aspetto spesso sottovalutato è l'impatto sulla qualità delle decisioni. Gli agenti non sostituiscono il management: forniscono un'analisi più rapida, più completa e meno soggetta a bias cognitivi, liberando l'attenzione dei responsabili per le scelte strategiche.</w:t>
      </w:r>
    </w:p>
    <w:p>
      <w:pPr>
        <w:spacing w:before="240" w:after="240"/>
        <w:ind w:left="850" w:right="850"/>
        <w:jc w:val="center"/>
      </w:pPr>
      <w:r>
        <w:rPr>
          <w:rFonts w:ascii="Calibri" w:hAnsi="Calibri"/>
          <w:b w:val="0"/>
          <w:i/>
          <w:color w:val="005AA0"/>
          <w:sz w:val="24"/>
        </w:rPr>
        <w:t>“Non si tratta di automatizzare il passato, ma di riprogettare i processi a partire dalle nuove capacità disponibili.”</w:t>
      </w:r>
    </w:p>
    <w:p>
      <w:pPr>
        <w:spacing w:before="320" w:after="120"/>
        <w:jc w:val="left"/>
      </w:pPr>
      <w:r>
        <w:rPr>
          <w:rFonts w:ascii="Calibri" w:hAnsi="Calibri"/>
          <w:b/>
          <w:i w:val="0"/>
          <w:color w:val="005AA0"/>
          <w:sz w:val="26"/>
        </w:rPr>
        <w:t>5. Rischi e responsabilità: il perimetro che non va dimenticato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L'entusiasmo per le potenzialità degli agenti AI non deve far abbassare la guardia sui rischi reali, che in un contesto professionale e aziendale assumono rilievo concreto: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Allucinazioni e confidenza eccessiva:</w:t>
      </w:r>
      <w:r>
        <w:rPr>
          <w:rFonts w:ascii="Calibri" w:hAnsi="Calibri"/>
          <w:b w:val="0"/>
          <w:i w:val="0"/>
          <w:sz w:val="22"/>
        </w:rPr>
        <w:t xml:space="preserve"> i modelli linguistici possono generare informazioni plausibili ma errate. In ambito normativo o contrattuale, l'errore può avere conseguenze rilevanti.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Sicurezza dei dati:</w:t>
      </w:r>
      <w:r>
        <w:rPr>
          <w:rFonts w:ascii="Calibri" w:hAnsi="Calibri"/>
          <w:b w:val="0"/>
          <w:i w:val="0"/>
          <w:sz w:val="22"/>
        </w:rPr>
        <w:t xml:space="preserve"> gli agenti accedono a sistemi e dati sensibili. È indispensabile definire perimetri di accesso, log di audit e policy di data governance.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Responsabilità professionale:</w:t>
      </w:r>
      <w:r>
        <w:rPr>
          <w:rFonts w:ascii="Calibri" w:hAnsi="Calibri"/>
          <w:b w:val="0"/>
          <w:i w:val="0"/>
          <w:sz w:val="22"/>
        </w:rPr>
        <w:t xml:space="preserve"> l'output dell'agente non scarica il professionista dalla responsabilità. La validazione umana rimane un obbligo deontologico e spesso legale.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Dipendenza dai fornitori:</w:t>
      </w:r>
      <w:r>
        <w:rPr>
          <w:rFonts w:ascii="Calibri" w:hAnsi="Calibri"/>
          <w:b w:val="0"/>
          <w:i w:val="0"/>
          <w:sz w:val="22"/>
        </w:rPr>
        <w:t xml:space="preserve"> i modelli AI sono servizi cloud soggetti a variazioni di pricing, discontinuità e modifiche nei termini contrattuali.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Bias nei dati di addestramento:</w:t>
      </w:r>
      <w:r>
        <w:rPr>
          <w:rFonts w:ascii="Calibri" w:hAnsi="Calibri"/>
          <w:b w:val="0"/>
          <w:i w:val="0"/>
          <w:sz w:val="22"/>
        </w:rPr>
        <w:t xml:space="preserve"> i modelli riflettono i dati su cui sono stati addestrati, con possibili distorsioni in contesti specifici o di nicchia.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L'AI Act europeo (in vigore dal 2026) introduce obblighi di trasparenza e conformità per i sistemi AI ad alto rischio. Studi professionali e aziende devono presidiare anche questo fronte normativo, che si intreccia con il GDPR e con le responsabilità dei data controller.</w:t>
      </w:r>
    </w:p>
    <w:p>
      <w:pPr>
        <w:spacing w:before="320" w:after="120"/>
        <w:jc w:val="left"/>
      </w:pPr>
      <w:r>
        <w:rPr>
          <w:rFonts w:ascii="Calibri" w:hAnsi="Calibri"/>
          <w:b/>
          <w:i w:val="0"/>
          <w:color w:val="005AA0"/>
          <w:sz w:val="26"/>
        </w:rPr>
        <w:t>6. Come iniziare: un approccio pragmatico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Non esiste un percorso universale, ma è possibile indicare una traiettoria razionale per chi vuole avvicinarsi agli agenti AI in modo strutturato e sostenibile.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Mappare i processi:</w:t>
      </w:r>
      <w:r>
        <w:rPr>
          <w:rFonts w:ascii="Calibri" w:hAnsi="Calibri"/>
          <w:b w:val="0"/>
          <w:i w:val="0"/>
          <w:sz w:val="22"/>
        </w:rPr>
        <w:t xml:space="preserve"> identificare le attività ripetitive, ad alto volume e a bassa discrezionalità — sono i candidati ideali per la prima automazione.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Definire metriche di successo:</w:t>
      </w:r>
      <w:r>
        <w:rPr>
          <w:rFonts w:ascii="Calibri" w:hAnsi="Calibri"/>
          <w:b w:val="0"/>
          <w:i w:val="0"/>
          <w:sz w:val="22"/>
        </w:rPr>
        <w:t xml:space="preserve"> prima di implementare, stabilire cosa si vuole misurare (tempo risparmiato, tasso di errore, soddisfazione del cliente).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Partire in piccolo, imparare in fretta:</w:t>
      </w:r>
      <w:r>
        <w:rPr>
          <w:rFonts w:ascii="Calibri" w:hAnsi="Calibri"/>
          <w:b w:val="0"/>
          <w:i w:val="0"/>
          <w:sz w:val="22"/>
        </w:rPr>
        <w:t xml:space="preserve"> un pilota circoscritto permette di acquisire competenze, identificare criticità e costruire fiducia interna prima di scalare.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Formare le persone:</w:t>
      </w:r>
      <w:r>
        <w:rPr>
          <w:rFonts w:ascii="Calibri" w:hAnsi="Calibri"/>
          <w:b w:val="0"/>
          <w:i w:val="0"/>
          <w:sz w:val="22"/>
        </w:rPr>
        <w:t xml:space="preserve"> il cambiamento organizzativo è il fattore critico. La tecnologia è necessaria ma non sufficiente.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i w:val="0"/>
          <w:sz w:val="22"/>
        </w:rPr>
        <w:t>Presidiare governance e compliance:</w:t>
      </w:r>
      <w:r>
        <w:rPr>
          <w:rFonts w:ascii="Calibri" w:hAnsi="Calibri"/>
          <w:b w:val="0"/>
          <w:i w:val="0"/>
          <w:sz w:val="22"/>
        </w:rPr>
        <w:t xml:space="preserve"> definire chi è responsabile dell'output degli agenti, come vengono registrate le azioni, come si gestiscono gli errori.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Il ruolo del consulente — che si tratti del commercialista, del consulente del lavoro o del revisore — è sempre più quello di accompagnare il cliente in questo percorso: non come esperto di tecnologia in senso stretto, ma come interprete di business capace di tradurre le potenzialità dell'AI in valore misurabile.</w:t>
      </w:r>
    </w:p>
    <w:p>
      <w:pPr>
        <w:spacing w:before="320" w:after="120"/>
        <w:jc w:val="left"/>
      </w:pPr>
      <w:r>
        <w:rPr>
          <w:rFonts w:ascii="Calibri" w:hAnsi="Calibri"/>
          <w:b/>
          <w:i w:val="0"/>
          <w:color w:val="005AA0"/>
          <w:sz w:val="26"/>
        </w:rPr>
        <w:t>Conclusioni: il vantaggio competitivo si costruisce ora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Gli agenti AI non sono una promessa futura: sono una realtà operativa del 2026. Le organizzazioni che stanno acquisendo competenze oggi — che siano studi da dieci professionisti o aziende da cento dipendenti — si stanno costruendo un vantaggio difficile da recuperare per chi ritarda.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Il messaggio per i professionisti è chiaro: la domanda non è se l'AI cambierà il vostro lavoro, ma in che misura voi guiderete quel cambiamento. Chi adotta consapevolezza, metodo e una solida cultura del rischio sarà in grado di trasformare questa discontinuità tecnologica in un'opportunità concreta di differenziazione.</w:t>
      </w:r>
    </w:p>
    <w:p>
      <w:pPr>
        <w:spacing w:before="0" w:after="160"/>
        <w:ind w:firstLine="283"/>
        <w:jc w:val="left"/>
      </w:pPr>
      <w:r>
        <w:rPr>
          <w:rFonts w:ascii="Calibri" w:hAnsi="Calibri"/>
          <w:b w:val="0"/>
          <w:i w:val="0"/>
          <w:sz w:val="22"/>
        </w:rPr>
        <w:t>La consulenza di valore, nel 2026, si misura anche dalla capacità di aiutare i propri clienti a navigare intelligentemente nell'ecosistema dell'intelligenza artificiale.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646464"/>
          <w:sz w:val="16"/>
        </w:rPr>
        <w:t>RIFERIMENTI E APPROFONDIMENTI</w:t>
      </w:r>
    </w:p>
    <w:p>
      <w:pPr>
        <w:spacing w:before="20" w:after="40"/>
        <w:ind w:left="283"/>
        <w:jc w:val="left"/>
      </w:pPr>
      <w:r>
        <w:rPr>
          <w:rFonts w:ascii="Calibri" w:hAnsi="Calibri"/>
          <w:b w:val="0"/>
          <w:i w:val="0"/>
          <w:color w:val="505050"/>
          <w:sz w:val="16"/>
        </w:rPr>
        <w:t>• European AI Act — Regolamento (UE) 2024/1689, applicazione progressiva 2024-2026</w:t>
      </w:r>
    </w:p>
    <w:p>
      <w:pPr>
        <w:spacing w:before="20" w:after="40"/>
        <w:ind w:left="283"/>
        <w:jc w:val="left"/>
      </w:pPr>
      <w:r>
        <w:rPr>
          <w:rFonts w:ascii="Calibri" w:hAnsi="Calibri"/>
          <w:b w:val="0"/>
          <w:i w:val="0"/>
          <w:color w:val="505050"/>
          <w:sz w:val="16"/>
        </w:rPr>
        <w:t>• Anthropic, «Building effective agents», blog tecnico, dicembre 2024</w:t>
      </w:r>
    </w:p>
    <w:p>
      <w:pPr>
        <w:spacing w:before="20" w:after="40"/>
        <w:ind w:left="283"/>
        <w:jc w:val="left"/>
      </w:pPr>
      <w:r>
        <w:rPr>
          <w:rFonts w:ascii="Calibri" w:hAnsi="Calibri"/>
          <w:b w:val="0"/>
          <w:i w:val="0"/>
          <w:color w:val="505050"/>
          <w:sz w:val="16"/>
        </w:rPr>
        <w:t>• McKinsey Global Institute, «The economic potential of generative AI», aggiornamento 2025</w:t>
      </w:r>
    </w:p>
    <w:p>
      <w:pPr>
        <w:spacing w:before="20" w:after="40"/>
        <w:ind w:left="283"/>
        <w:jc w:val="left"/>
      </w:pPr>
      <w:r>
        <w:rPr>
          <w:rFonts w:ascii="Calibri" w:hAnsi="Calibri"/>
          <w:b w:val="0"/>
          <w:i w:val="0"/>
          <w:color w:val="505050"/>
          <w:sz w:val="16"/>
        </w:rPr>
        <w:t>• CNDCEC — Commissione AI, «Linee guida per l'uso dell'intelligenza artificiale negli studi professionali», 2025</w:t>
      </w:r>
    </w:p>
    <w:p>
      <w:pPr>
        <w:spacing w:before="20" w:after="40"/>
        <w:ind w:left="283"/>
        <w:jc w:val="left"/>
      </w:pPr>
      <w:r>
        <w:rPr>
          <w:rFonts w:ascii="Calibri" w:hAnsi="Calibri"/>
          <w:b w:val="0"/>
          <w:i w:val="0"/>
          <w:color w:val="505050"/>
          <w:sz w:val="16"/>
        </w:rPr>
        <w:t>• OpenAI, Google DeepMind, Anthropic — documentazione tecnica framework agentici, 2025-2026</w:t>
      </w:r>
    </w:p>
    <w:p/>
    <w:p>
      <w:pPr>
        <w:spacing w:before="240" w:after="80"/>
        <w:ind w:left="283" w:right="283"/>
        <w:jc w:val="left"/>
      </w:pPr>
      <w:r>
        <w:rPr>
          <w:rFonts w:ascii="Calibri" w:hAnsi="Calibri"/>
          <w:b/>
          <w:i w:val="0"/>
          <w:color w:val="005AA0"/>
          <w:sz w:val="18"/>
        </w:rPr>
        <w:t xml:space="preserve">L'AUTORE  |  </w:t>
      </w:r>
      <w:r>
        <w:rPr>
          <w:rFonts w:ascii="Calibri" w:hAnsi="Calibri"/>
          <w:b w:val="0"/>
          <w:i w:val="0"/>
          <w:color w:val="3C3C3C"/>
          <w:sz w:val="18"/>
        </w:rPr>
        <w:t>Alberto Mattavelli è consulente in innovazione digitale e intelligenza artificiale, con focus su studi professionali e PMI. Autore di articoli e formatore su temi di digital transformation, AI applicata alla consulenza e governance dei dati.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