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Maggio 2026  |  Normativa e Compliance AI</w:t>
      </w:r>
    </w:p>
    <w:p/>
    <w:p>
      <w:pPr>
        <w:spacing w:after="120"/>
        <w:jc w:val="left"/>
      </w:pPr>
      <w:r>
        <w:rPr>
          <w:rFonts w:ascii="Calibri" w:hAnsi="Calibri"/>
          <w:b/>
          <w:color w:val="1F497D"/>
          <w:sz w:val="48"/>
        </w:rPr>
        <w:t>L'obbligo di formazione AI</w:t>
        <w:br/>
        <w:t>che agosto renderà visibile</w:t>
      </w:r>
    </w:p>
    <w:p>
      <w:pPr>
        <w:spacing w:after="200"/>
        <w:jc w:val="left"/>
      </w:pPr>
      <w:r>
        <w:rPr>
          <w:rFonts w:ascii="Calibri" w:hAnsi="Calibri"/>
          <w:i/>
          <w:color w:val="2E74B5"/>
          <w:sz w:val="26"/>
        </w:rPr>
        <w:t>L'articolo 4 dell'AI Act è in vigore dal febbraio 2025. La maggioranza degli studi e delle PMI italiane non ha ancora documentato nulla. Dal 3 agosto 2026 partono i controlli.</w:t>
      </w:r>
    </w:p>
    <w:p>
      <w:pPr>
        <w:spacing w:after="40" w:before="40"/>
        <w:pBdr>
          <w:bottom w:val="single" w:sz="6" w:space="1" w:color="1F497D"/>
        </w:pBdr>
      </w:pPr>
    </w:p>
    <w:p>
      <w:pPr>
        <w:spacing w:after="320"/>
        <w:jc w:val="left"/>
      </w:pPr>
      <w:r>
        <w:rPr>
          <w:rFonts w:ascii="Calibri" w:hAnsi="Calibri"/>
          <w:color w:val="808080"/>
          <w:sz w:val="18"/>
        </w:rPr>
        <w:t>A cura della Redazione Ratio  •  1 maggio 2026</w:t>
      </w:r>
    </w:p>
    <w:p>
      <w:pPr>
        <w:spacing w:after="160" w:line="320" w:lineRule="exact"/>
        <w:jc w:val="both"/>
      </w:pPr>
      <w:r>
        <w:rPr>
          <w:rFonts w:ascii="Calibri" w:hAnsi="Calibri"/>
          <w:sz w:val="22"/>
        </w:rPr>
        <w:t>Il titolare dello studio apre ChatGPT ogni mattina. Lo usa per stendere le bozze delle comunicazioni ai clienti, riassumere le circolari dell'Agenzia delle Entrate, preparare le slide per le assemblee dei soci. Ha convinto anche due colleghi ad adottarlo, e tutti e tre lo trovano utile. Nessuno, in nessuna delle conversazioni che hanno avuto su questo strumento, ha mai nominato la parola formazione.</w:t>
      </w:r>
    </w:p>
    <w:p>
      <w:pPr>
        <w:spacing w:after="160" w:line="320" w:lineRule="exact"/>
        <w:jc w:val="both"/>
      </w:pPr>
      <w:r>
        <w:rPr>
          <w:rFonts w:ascii="Calibri" w:hAnsi="Calibri"/>
          <w:sz w:val="22"/>
        </w:rPr>
        <w:t>Eppure, dal 2 febbraio 2025, ogni soggetto che utilizza sistemi di intelligenza artificiale in un contesto professionale strutturato è tenuto ad assicurare un livello adeguato di competenza sull'AI al proprio personale. Lo stabilisce l'articolo 4 del Regolamento (UE) 2024/1689, l'AI Act europeo. La norma è già in vigore da oltre un anno. Quello che cambia il 3 agosto 2026 è che le autorità nazionali competenti inizieranno le attività di vigilanza e potranno irrogare sanzioni per le violazioni accertate.</w:t>
      </w:r>
    </w:p>
    <w:p>
      <w:pPr>
        <w:spacing w:before="280" w:after="120"/>
      </w:pPr>
      <w:r>
        <w:rPr>
          <w:rFonts w:ascii="Calibri" w:hAnsi="Calibri"/>
          <w:b/>
          <w:color w:val="1F497D"/>
          <w:sz w:val="24"/>
        </w:rPr>
        <w:t>Cosa prevede l'obbligo in concreto</w:t>
      </w:r>
    </w:p>
    <w:p>
      <w:pPr>
        <w:spacing w:after="160" w:line="320" w:lineRule="exact"/>
        <w:jc w:val="both"/>
      </w:pPr>
      <w:r>
        <w:rPr>
          <w:rFonts w:ascii="Calibri" w:hAnsi="Calibri"/>
          <w:sz w:val="22"/>
        </w:rPr>
        <w:t>L'articolo 4 non prescrive ore minime di formazione né il superamento di un esame. Non richiede certificazioni esterne né la partecipazione a corsi accreditati da enti pubblici. Chiede che il personale che utilizza o sviluppa sistemi AI abbia un livello sufficiente di conoscenza delle caratteristiche, delle capacità e dei limiti degli strumenti in uso, e che l'organizzazione sappia dimostrarlo in modo documentato.</w:t>
      </w:r>
    </w:p>
    <w:p>
      <w:pPr>
        <w:spacing w:after="160" w:line="320" w:lineRule="exact"/>
        <w:jc w:val="both"/>
      </w:pPr>
      <w:r>
        <w:rPr>
          <w:rFonts w:ascii="Calibri" w:hAnsi="Calibri"/>
          <w:sz w:val="22"/>
        </w:rPr>
        <w:t>La Commissione Europea ha pubblicato nel gennaio 2026 una serie di FAQ chiarificatori sull'obbligo. Il punto più rilevante per le PMI è questo: l'adeguatezza della formazione si misura in modo proporzionato alle dimensioni dell'organizzazione e alla complessità dei sistemi utilizzati. Un'impresa con cinque dipendenti che usa solo un assistente virtuale per le email non è trattata come una società finanziaria con modelli predittivi di scoring del credito. L'obbligo esiste per entrambe, ma il livello di documentazione richiesto è calibrato sulla realtà operativa.</w:t>
      </w:r>
    </w:p>
    <w:p>
      <w:pPr>
        <w:spacing w:after="160" w:line="320" w:lineRule="exact"/>
        <w:jc w:val="both"/>
      </w:pPr>
      <w:r>
        <w:rPr>
          <w:rFonts w:ascii="Calibri" w:hAnsi="Calibri"/>
          <w:sz w:val="22"/>
        </w:rPr>
        <w:t>La documentazione raccomandata (non imposta come requisito formale, ma fortemente indicata nelle FAQ della Commissione) include un registro interno delle attività formative, la descrizione dei sistemi AI effettivamente in uso, l'indicazione del personale coinvolto e la periodicità dell'aggiornamento previsto.</w:t>
      </w:r>
    </w:p>
    <w:p>
      <w:pPr>
        <w:spacing w:before="280" w:after="120"/>
      </w:pPr>
      <w:r>
        <w:rPr>
          <w:rFonts w:ascii="Calibri" w:hAnsi="Calibri"/>
          <w:b/>
          <w:color w:val="1F497D"/>
          <w:sz w:val="24"/>
        </w:rPr>
        <w:t>Il rischio di trattarlo come un adempimento da spuntare</w:t>
      </w:r>
    </w:p>
    <w:p>
      <w:pPr>
        <w:spacing w:after="160" w:line="320" w:lineRule="exact"/>
        <w:jc w:val="both"/>
      </w:pPr>
      <w:r>
        <w:rPr>
          <w:rFonts w:ascii="Calibri" w:hAnsi="Calibri"/>
          <w:sz w:val="22"/>
        </w:rPr>
        <w:t>Molte aziende stanno reagendo all'obbligo di AI literacy come hanno reagito in passato ai corsi obbligatori sulla sicurezza nei luoghi di lavoro: un'ora di video, un click per attestare la partecipazione, un file archiviato nel cloud. Questo approccio soddisfa formalmente l'obbligo, ma non produce nessuna delle competenze che la norma intende generare.</w:t>
      </w:r>
    </w:p>
    <w:p>
      <w:pPr>
        <w:spacing w:after="160" w:line="320" w:lineRule="exact"/>
        <w:jc w:val="both"/>
      </w:pPr>
      <w:r>
        <w:rPr>
          <w:rFonts w:ascii="Calibri" w:hAnsi="Calibri"/>
          <w:sz w:val="22"/>
        </w:rPr>
        <w:t>Il problema non è solo legale. Un team che usa strumenti AI senza capire cosa può andare storto è un team che delegherà compiti sbagliati, non verificherà gli output nelle situazioni in cui servirebbe farlo, e si accorgerà degli errori quando le conseguenze sono già visibili ai clienti. La formazione sull'AI serve prima di tutto a costruire un'abitudine alla verifica critica degli output, non alla fiducia cieca nello strumento. Il modello genera testo plausibile: decidere se quel testo è anche corretto e adeguato al contesto è ancora compito del professionista.</w:t>
      </w:r>
    </w:p>
    <w:p>
      <w:pPr>
        <w:spacing w:before="280" w:after="120"/>
      </w:pPr>
      <w:r>
        <w:rPr>
          <w:rFonts w:ascii="Calibri" w:hAnsi="Calibri"/>
          <w:b/>
          <w:color w:val="1F497D"/>
          <w:sz w:val="24"/>
        </w:rPr>
        <w:t>Come costruire un percorso che abbia senso</w:t>
      </w:r>
    </w:p>
    <w:p>
      <w:pPr>
        <w:spacing w:after="160" w:line="320" w:lineRule="exact"/>
        <w:jc w:val="both"/>
      </w:pPr>
      <w:r>
        <w:rPr>
          <w:rFonts w:ascii="Calibri" w:hAnsi="Calibri"/>
          <w:sz w:val="22"/>
        </w:rPr>
        <w:t>Per uno studio professionale o una PMI che vuole affrontare questo tema con metodo, il punto di partenza è l'inventario degli strumenti: quali sistemi AI sono in uso, chi li usa, per quali attività specifiche. Questa ricognizione, che richiede qualche ora di lavoro interno, è anche il prerequisito per la classificazione dei sistemi ai fini dell'AI Act più in generale.</w:t>
      </w:r>
    </w:p>
    <w:p>
      <w:pPr>
        <w:spacing w:after="160" w:line="320" w:lineRule="exact"/>
        <w:jc w:val="both"/>
      </w:pPr>
      <w:r>
        <w:rPr>
          <w:rFonts w:ascii="Calibri" w:hAnsi="Calibri"/>
          <w:sz w:val="22"/>
        </w:rPr>
        <w:t>A partire dall'inventario si costruisce un percorso formativo calibrato. I contenuti minimi utili per ogni persona che usa strumenti AI in ambito professionale includono quattro aree: come funziona un modello linguistico e perché può produrre errori plausibili; come verificare un output generato dall'AI senza accettarlo per buono; quali tipi di decisioni non possono essere delegate a un modello senza revisione umana; quali sono i rischi legali dell'uso di dati riservati su piattaforme non conformi al GDPR europeo.</w:t>
      </w:r>
    </w:p>
    <w:p>
      <w:pPr>
        <w:spacing w:after="160" w:line="320" w:lineRule="exact"/>
        <w:jc w:val="both"/>
      </w:pPr>
      <w:r>
        <w:rPr>
          <w:rFonts w:ascii="Calibri" w:hAnsi="Calibri"/>
          <w:sz w:val="22"/>
        </w:rPr>
        <w:t>Questi contenuti non richiedono un corso lungo. Due o tre ore di formazione ben strutturata, documentata con un verbale e archiviata insieme all'inventario dei sistemi, è sufficiente per la maggior parte degli studi professionali e delle PMI italiane. La periodicità minima consigliata dalla Commissione è annuale, con aggiornamenti ogni volta che vengono adottati nuovi strumenti significativi.</w:t>
      </w:r>
    </w:p>
    <w:p>
      <w:pPr>
        <w:spacing w:before="280" w:after="120"/>
      </w:pPr>
      <w:r>
        <w:rPr>
          <w:rFonts w:ascii="Calibri" w:hAnsi="Calibri"/>
          <w:b/>
          <w:color w:val="1F497D"/>
          <w:sz w:val="24"/>
        </w:rPr>
        <w:t>Il valore che rimane dopo la scadenza</w:t>
      </w:r>
    </w:p>
    <w:p>
      <w:pPr>
        <w:spacing w:after="160" w:line="320" w:lineRule="exact"/>
        <w:jc w:val="both"/>
      </w:pPr>
      <w:r>
        <w:rPr>
          <w:rFonts w:ascii="Calibri" w:hAnsi="Calibri"/>
          <w:sz w:val="22"/>
        </w:rPr>
        <w:t>Chi ha ancora qualche mese prima del 3 agosto ha il tempo di fare questa cosa bene, senza fretta. Un percorso formativo costruito adesso, con attenzione ai sistemi realmente in uso e ai rischi concreti che ne derivano, vale molto di più di una documentazione compilata nell'ultima settimana di luglio per rispettare una scadenza regolamentare. Quello che rimane, dopo la formazione fatta con cura, è un team più capace di usare questi strumenti con piena consapevolezza delle conseguenze, non solo più al sicuro da sanzioni. La differenza, nel lavoro quotidiano, si vede.</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Regolamento (UE) 2024/1689 — AI Act, art. 4 (GU UE, 12 luglio 2024)</w:t>
      </w:r>
    </w:p>
    <w:p>
      <w:pPr>
        <w:spacing w:after="40"/>
      </w:pPr>
      <w:r>
        <w:rPr>
          <w:rFonts w:ascii="Calibri" w:hAnsi="Calibri"/>
          <w:color w:val="606060"/>
          <w:sz w:val="17"/>
        </w:rPr>
        <w:t>• Commissione Europea — FAQ sull’obbligo di AI literacy (gennaio 2026)</w:t>
      </w:r>
    </w:p>
    <w:p>
      <w:pPr>
        <w:spacing w:after="40"/>
      </w:pPr>
      <w:r>
        <w:rPr>
          <w:rFonts w:ascii="Calibri" w:hAnsi="Calibri"/>
          <w:color w:val="606060"/>
          <w:sz w:val="17"/>
        </w:rPr>
        <w:t>• ADVANT Nctm — Le nuove FAQ della Commissione sull’obbligo di AI literacy (2026)</w:t>
      </w:r>
    </w:p>
    <w:p>
      <w:pPr>
        <w:spacing w:after="40"/>
      </w:pPr>
      <w:r>
        <w:rPr>
          <w:rFonts w:ascii="Calibri" w:hAnsi="Calibri"/>
          <w:color w:val="606060"/>
          <w:sz w:val="17"/>
        </w:rPr>
        <w:t>• Randstad — AI literacy e obbligo di formazione nelle aziende: come muoversi? (2026)</w:t>
      </w:r>
    </w:p>
    <w:p>
      <w:pPr>
        <w:spacing w:after="40"/>
      </w:pPr>
      <w:r>
        <w:rPr>
          <w:rFonts w:ascii="Calibri" w:hAnsi="Calibri"/>
          <w:color w:val="606060"/>
          <w:sz w:val="17"/>
        </w:rPr>
        <w:t>• Agenda Digitale — AI Literacy, l’obbligo in Europa: ecco in cosa consiste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