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rFonts w:ascii="Calibri" w:hAnsi="Calibri"/>
          <w:b/>
          <w:caps/>
          <w:color w:val="1F497D"/>
          <w:sz w:val="18"/>
        </w:rPr>
        <w:t>RATIO  •  Approfondimenti per Professionisti e Imprese</w:t>
      </w:r>
    </w:p>
    <w:p>
      <w:pPr>
        <w:spacing w:after="40" w:before="40"/>
        <w:pBdr>
          <w:bottom w:val="single" w:sz="6" w:space="1" w:color="1F497D"/>
        </w:pBdr>
      </w:pPr>
    </w:p>
    <w:p>
      <w:pPr>
        <w:jc w:val="right"/>
      </w:pPr>
      <w:r>
        <w:rPr>
          <w:rFonts w:ascii="Calibri" w:hAnsi="Calibri"/>
          <w:i/>
          <w:color w:val="606060"/>
          <w:sz w:val="17"/>
        </w:rPr>
        <w:t>Maggio 2026  |  Professione e Automazione</w:t>
      </w:r>
    </w:p>
    <w:p/>
    <w:p>
      <w:pPr>
        <w:spacing w:after="120"/>
        <w:jc w:val="left"/>
      </w:pPr>
      <w:r>
        <w:rPr>
          <w:rFonts w:ascii="Calibri" w:hAnsi="Calibri"/>
          <w:b/>
          <w:color w:val="1F497D"/>
          <w:sz w:val="48"/>
        </w:rPr>
        <w:t>Il 65% dei commercialisti usa già l'AI:</w:t>
        <w:br/>
        <w:t>ma i numeri raccontano metà della storia</w:t>
      </w:r>
    </w:p>
    <w:p>
      <w:pPr>
        <w:spacing w:after="200"/>
        <w:jc w:val="left"/>
      </w:pPr>
      <w:r>
        <w:rPr>
          <w:rFonts w:ascii="Calibri" w:hAnsi="Calibri"/>
          <w:i/>
          <w:color w:val="2E74B5"/>
          <w:sz w:val="26"/>
        </w:rPr>
        <w:t>L'adozione cresce, ma tra "usare l'AI" e "automatizzare bene un processo" la distanza è ancora larga. La differenza si vede nei risultati, non nelle statistiche.</w:t>
      </w:r>
    </w:p>
    <w:p>
      <w:pPr>
        <w:spacing w:after="40" w:before="40"/>
        <w:pBdr>
          <w:bottom w:val="single" w:sz="6" w:space="1" w:color="1F497D"/>
        </w:pBdr>
      </w:pPr>
    </w:p>
    <w:p>
      <w:pPr>
        <w:spacing w:after="320"/>
        <w:jc w:val="left"/>
      </w:pPr>
      <w:r>
        <w:rPr>
          <w:rFonts w:ascii="Calibri" w:hAnsi="Calibri"/>
          <w:color w:val="808080"/>
          <w:sz w:val="18"/>
        </w:rPr>
        <w:t>A cura della Redazione Ratio  •  1 maggio 2026</w:t>
      </w:r>
    </w:p>
    <w:p>
      <w:pPr>
        <w:spacing w:after="160" w:line="320" w:lineRule="exact"/>
        <w:jc w:val="both"/>
      </w:pPr>
      <w:r>
        <w:rPr>
          <w:rFonts w:ascii="Calibri" w:hAnsi="Calibri"/>
          <w:sz w:val="22"/>
        </w:rPr>
        <w:t>Lo studio ha adottato un sistema AI per la contabilizzazione delle fatture diciotto mesi fa. I tempi di inserimento si sono ridotti del 40%. Poi qualcuno ha iniziato a contare quante ore si spendono a correggere gli errori di classificazione che il modello fa sistematicamente sulle fatture di fornitori esteri, sulle note spese con giustificativi non standard, sulle operazioni che escono dagli schemi abituali. Il saldo netto è ancora positivo, ma molto meno di quanto sembrava al momento dell'adozione.</w:t>
      </w:r>
    </w:p>
    <w:p>
      <w:pPr>
        <w:spacing w:after="160" w:line="320" w:lineRule="exact"/>
        <w:jc w:val="both"/>
      </w:pPr>
      <w:r>
        <w:rPr>
          <w:rFonts w:ascii="Calibri" w:hAnsi="Calibri"/>
          <w:sz w:val="22"/>
        </w:rPr>
        <w:t>Questa storia, con varianti, si sente spesso parlando con commercialisti che hanno adottato strumenti AI nell'ultimo anno. Il dato aggregato è impressionante: secondo le rilevazioni del 2025, il 65% dei commercialisti italiani usa già strumenti di intelligenza artificiale nella propria attività, con l'84% di chi li usa che percepisce un impatto positivo. Ma la media nasconde una dispersione molto ampia tra chi ha integrato l'AI in modo strutturato e chi la usa come uno strumento puntuale senza averci costruito intorno un processo ridisegnato.</w:t>
      </w:r>
    </w:p>
    <w:p>
      <w:pPr>
        <w:spacing w:before="280" w:after="120"/>
      </w:pPr>
      <w:r>
        <w:rPr>
          <w:rFonts w:ascii="Calibri" w:hAnsi="Calibri"/>
          <w:b/>
          <w:color w:val="1F497D"/>
          <w:sz w:val="24"/>
        </w:rPr>
        <w:t>Cosa si automatizza davvero (e cosa no)</w:t>
      </w:r>
    </w:p>
    <w:p>
      <w:pPr>
        <w:spacing w:after="160" w:line="320" w:lineRule="exact"/>
        <w:jc w:val="both"/>
      </w:pPr>
      <w:r>
        <w:rPr>
          <w:rFonts w:ascii="Calibri" w:hAnsi="Calibri"/>
          <w:sz w:val="22"/>
        </w:rPr>
        <w:t>Le applicazioni di AI che funzionano meglio in ambito contabile sono quelle con caratteristiche specifiche: input strutturato, regole ben definite, volume alto, varianza bassa. La contabilizzazione di fatture passive da fornitori ricorrenti rientra perfettamente in questo schema. Stessa azienda, stesso formato di documento, stessi centri di costo, stessa aliquota IVA. Con una buona fase di configurazione iniziale, i modelli di classificazione automatica raggiungono tassi di accuratezza tra il 90 e il 97% su questo tipo di documenti.</w:t>
      </w:r>
    </w:p>
    <w:p>
      <w:pPr>
        <w:spacing w:after="160" w:line="320" w:lineRule="exact"/>
        <w:jc w:val="both"/>
      </w:pPr>
      <w:r>
        <w:rPr>
          <w:rFonts w:ascii="Calibri" w:hAnsi="Calibri"/>
          <w:sz w:val="22"/>
        </w:rPr>
        <w:t>Le difficoltà emergono con le eccezioni: fatture con imputazioni a più centri di costo, note spese con giustificativi non standard, documenti esteri con layout inusuali, operazioni non ricorrenti che richiedono una valutazione contestuale. Queste eccezioni rappresentano spesso meno del 10% del volume totale ma assorbono il 40-50% del tempo di gestione. Un sistema AI che gestisce bene il 90% del volume liberando tempo per il 10% residuo è comunque un guadagno netto, ma richiede una governance chiara di questo confine. Il professionista deve sapere con precisione dove il modello è affidabile e dove serve la revisione umana, e organizzare il processo di conseguenza.</w:t>
      </w:r>
    </w:p>
    <w:p>
      <w:pPr>
        <w:spacing w:before="280" w:after="120"/>
      </w:pPr>
      <w:r>
        <w:rPr>
          <w:rFonts w:ascii="Calibri" w:hAnsi="Calibri"/>
          <w:b/>
          <w:color w:val="1F497D"/>
          <w:sz w:val="24"/>
        </w:rPr>
        <w:t>L'errore più comune nell'adozione</w:t>
      </w:r>
    </w:p>
    <w:p>
      <w:pPr>
        <w:spacing w:after="160" w:line="320" w:lineRule="exact"/>
        <w:jc w:val="both"/>
      </w:pPr>
      <w:r>
        <w:rPr>
          <w:rFonts w:ascii="Calibri" w:hAnsi="Calibri"/>
          <w:sz w:val="22"/>
        </w:rPr>
        <w:t>Il problema più frequente che emerge dall'esperienza degli studi che hanno adottato AI in contabilità non è di natura tecnica, ma organizzativa. Molti studi hanno sovrapposto lo strumento AI al processo esistente senza ridisegnarlo. Il risultato è che l'AI fa la parte meccanica di quello che faceva prima un operatore umano, ma il flusso di verifica, approvazione e correzione rimane identico a prima. Il risparmio di tempo c'è, ma è molto inferiore a quello che si potrebbe ottenere.</w:t>
      </w:r>
    </w:p>
    <w:p>
      <w:pPr>
        <w:spacing w:after="160" w:line="320" w:lineRule="exact"/>
        <w:jc w:val="both"/>
      </w:pPr>
      <w:r>
        <w:rPr>
          <w:rFonts w:ascii="Calibri" w:hAnsi="Calibri"/>
          <w:sz w:val="22"/>
        </w:rPr>
        <w:t>Un processo contabile ridisegnato intorno alle capacità reali dell'AI funziona diversamente. Le attività ad alta standardizzazione (inserimento, classificazione, riconciliazione su documenti standard) passano completamente sotto il controllo del modello, con un check umano finale su campione o su anomalie segnalate. Le attività ad alta varianza o con implicazioni interpretative (operazioni straordinarie, rettifiche di fine anno, gestione di eccezioni normative) rimangono integralmente sotto il controllo del professionista. Questa separazione richiede una mappa del processo, non solo un abbonamento a un software.</w:t>
      </w:r>
    </w:p>
    <w:p>
      <w:pPr>
        <w:spacing w:before="280" w:after="120"/>
      </w:pPr>
      <w:r>
        <w:rPr>
          <w:rFonts w:ascii="Calibri" w:hAnsi="Calibri"/>
          <w:b/>
          <w:color w:val="1F497D"/>
          <w:sz w:val="24"/>
        </w:rPr>
        <w:t>Cosa chiedere ai fornitori di software gestionale</w:t>
      </w:r>
    </w:p>
    <w:p>
      <w:pPr>
        <w:spacing w:after="160" w:line="320" w:lineRule="exact"/>
        <w:jc w:val="both"/>
      </w:pPr>
      <w:r>
        <w:rPr>
          <w:rFonts w:ascii="Calibri" w:hAnsi="Calibri"/>
          <w:sz w:val="22"/>
        </w:rPr>
        <w:t>La maggior parte degli studi professionali italiani accede all'AI attraverso i propri software gestionali: TeamSystem, Wolters Kluwer, Zucchetti, Sistemi hanno tutti integrato funzionalità AI nei loro prodotti negli ultimi due anni. Prima di attivare queste funzionalità, vale la pena fare tre domande concrete ai fornitori.</w:t>
      </w:r>
    </w:p>
    <w:p>
      <w:pPr>
        <w:spacing w:after="160" w:line="320" w:lineRule="exact"/>
        <w:jc w:val="both"/>
      </w:pPr>
      <w:r>
        <w:rPr>
          <w:rFonts w:ascii="Calibri" w:hAnsi="Calibri"/>
          <w:sz w:val="22"/>
        </w:rPr>
        <w:t>La prima riguarda l'elaborazione dei dati: i dati vengono trattati su server in Europa o vengono inviati a infrastrutture extra-UE? Per gli studi che trattano dati personali dei clienti (e tutti lo fanno), questa informazione è necessaria per valutare la conformità al GDPR. La seconda domanda riguarda la gestione delle eccezioni: come vengono segnalate le situazioni che il modello non riesce a classificare con sufficiente confidenza? La terza, la più trascurata, riguarda il monitoring: quali strumenti sono disponibili per misurare l'accuratezza del modello nel tempo?</w:t>
      </w:r>
    </w:p>
    <w:p>
      <w:pPr>
        <w:spacing w:after="160" w:line="320" w:lineRule="exact"/>
        <w:jc w:val="both"/>
      </w:pPr>
      <w:r>
        <w:rPr>
          <w:rFonts w:ascii="Calibri" w:hAnsi="Calibri"/>
          <w:sz w:val="22"/>
        </w:rPr>
        <w:t>Un modello di classificazione che parte con il 94% di accuratezza può degradare nel tempo se il profilo delle fatture cambia, se vengono aggiunti nuovi fornitori con formati diversi, o se cambiano le regole contabili applicabili. Senza un sistema di monitoring, il professionista non sa quando l'accuratezza è scesa sotto la soglia accettabile, e scopre il problema solo quando un cliente segnala un errore nel bilancio.</w:t>
      </w:r>
    </w:p>
    <w:p>
      <w:pPr>
        <w:spacing w:before="280" w:after="120"/>
      </w:pPr>
      <w:r>
        <w:rPr>
          <w:rFonts w:ascii="Calibri" w:hAnsi="Calibri"/>
          <w:b/>
          <w:color w:val="1F497D"/>
          <w:sz w:val="24"/>
        </w:rPr>
        <w:t>Usare bene è diverso da usare</w:t>
      </w:r>
    </w:p>
    <w:p>
      <w:pPr>
        <w:spacing w:after="160" w:line="320" w:lineRule="exact"/>
        <w:jc w:val="both"/>
      </w:pPr>
      <w:r>
        <w:rPr>
          <w:rFonts w:ascii="Calibri" w:hAnsi="Calibri"/>
          <w:sz w:val="22"/>
        </w:rPr>
        <w:t>Il 65% di adozione è un numero che racconta l'ingresso di massa di questi strumenti negli studi italiani. La domanda più interessante, adesso, è quanti di questi studi stanno usando l'AI per ridisegnare i processi, e quanti la stanno usando per fare più velocemente quello che facevano già. La differenza, nei prossimi due anni, sarà visibile nei margini operativi e nella capacità di dedicarsi alla consulenza che i clienti pagano per la competenza professionale, non per il tempo di inserimento dati. Uno studio che ha liberato il 30% del tempo dall'inserimento meccanico ha il problema concreto di decidere come usarlo: questa è la scelta strategica che i dati sull'adozione non raccontano.</w:t>
      </w:r>
    </w:p>
    <w:p>
      <w:pPr>
        <w:spacing w:after="40" w:before="40"/>
        <w:pBdr>
          <w:bottom w:val="single" w:sz="6" w:space="1" w:color="1F497D"/>
        </w:pBdr>
      </w:pPr>
    </w:p>
    <w:p>
      <w:pPr>
        <w:spacing w:before="200"/>
      </w:pPr>
      <w:r>
        <w:rPr>
          <w:rFonts w:ascii="Calibri" w:hAnsi="Calibri"/>
          <w:b/>
          <w:color w:val="606060"/>
          <w:sz w:val="18"/>
        </w:rPr>
        <w:t>Riferimenti</w:t>
      </w:r>
    </w:p>
    <w:p>
      <w:pPr>
        <w:spacing w:after="40"/>
      </w:pPr>
      <w:r>
        <w:rPr>
          <w:rFonts w:ascii="Calibri" w:hAnsi="Calibri"/>
          <w:color w:val="606060"/>
          <w:sz w:val="17"/>
        </w:rPr>
        <w:t>• TeamSystem — AI e Automazione Contabile Studio Commercialisti (2026)</w:t>
      </w:r>
    </w:p>
    <w:p>
      <w:pPr>
        <w:spacing w:after="40"/>
      </w:pPr>
      <w:r>
        <w:rPr>
          <w:rFonts w:ascii="Calibri" w:hAnsi="Calibri"/>
          <w:color w:val="606060"/>
          <w:sz w:val="17"/>
        </w:rPr>
        <w:t>• Wolters Kluwer — L'Intelligenza Artificiale Trasforma la Contabilita': Opportunita' e Sfide (2026)</w:t>
      </w:r>
    </w:p>
    <w:p>
      <w:pPr>
        <w:spacing w:after="40"/>
      </w:pPr>
      <w:r>
        <w:rPr>
          <w:rFonts w:ascii="Calibri" w:hAnsi="Calibri"/>
          <w:color w:val="606060"/>
          <w:sz w:val="17"/>
        </w:rPr>
        <w:t>• Sibill — Contabilita' e AI: guida all'intelligenza artificiale in studio (2026)</w:t>
      </w:r>
    </w:p>
    <w:p>
      <w:pPr>
        <w:spacing w:after="40"/>
      </w:pPr>
      <w:r>
        <w:rPr>
          <w:rFonts w:ascii="Calibri" w:hAnsi="Calibri"/>
          <w:color w:val="606060"/>
          <w:sz w:val="17"/>
        </w:rPr>
        <w:t>• Studio AZ — Intelligenza Artificiale e Studi Professionali: le prospettive e le strategie (aprile 2026)</w:t>
      </w:r>
    </w:p>
    <w:p>
      <w:pPr>
        <w:spacing w:after="40"/>
      </w:pPr>
      <w:r>
        <w:rPr>
          <w:rFonts w:ascii="Calibri" w:hAnsi="Calibri"/>
          <w:color w:val="606060"/>
          <w:sz w:val="17"/>
        </w:rPr>
        <w:t>• Professionista Digitale — Contabilita' 2026: Trend e Digitalizzazione Studi Professionali (2026)</w:t>
      </w:r>
    </w:p>
    <w:p>
      <w:pPr>
        <w:spacing w:before="320"/>
        <w:jc w:val="center"/>
      </w:pPr>
      <w:r>
        <w:rPr>
          <w:rFonts w:ascii="Calibri" w:hAnsi="Calibri"/>
          <w:i/>
          <w:color w:val="A0A0A0"/>
          <w:sz w:val="16"/>
        </w:rPr>
        <w:t>© 2026 Mattavelli Amodeo — Commercialisti Associati  •  Riproduzione consentita con citazione della fonte</w:t>
      </w:r>
    </w:p>
    <w:sectPr w:rsidR="00FC693F" w:rsidRPr="0006063C" w:rsidSect="00034616">
      <w:pgSz w:w="11906" w:h="16838"/>
      <w:pgMar w:top="1417" w:right="1701" w:bottom="1417" w:left="1701"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