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Maggio 2026  |  Strumenti e Modelli AI</w:t>
      </w:r>
    </w:p>
    <w:p/>
    <w:p>
      <w:pPr>
        <w:spacing w:after="120"/>
        <w:jc w:val="left"/>
      </w:pPr>
      <w:r>
        <w:rPr>
          <w:rFonts w:ascii="Calibri" w:hAnsi="Calibri"/>
          <w:b/>
          <w:color w:val="1F497D"/>
          <w:sz w:val="48"/>
        </w:rPr>
        <w:t>Il modello che usa il computer:</w:t>
        <w:br/>
        <w:t>cosa cambia quando l’AI controlla lo schermo</w:t>
      </w:r>
    </w:p>
    <w:p>
      <w:pPr>
        <w:spacing w:after="200"/>
        <w:jc w:val="left"/>
      </w:pPr>
      <w:r>
        <w:rPr>
          <w:rFonts w:ascii="Calibri" w:hAnsi="Calibri"/>
          <w:i/>
          <w:color w:val="2E74B5"/>
          <w:sz w:val="26"/>
        </w:rPr>
        <w:t>GPT-5.4 segna il passaggio da modello che risponde a modello che agisce. Per chi lavora con documenti, fogli e gestionali, le implicazioni sono concrete.</w:t>
      </w:r>
    </w:p>
    <w:p>
      <w:pPr>
        <w:spacing w:after="40" w:before="40"/>
        <w:pBdr>
          <w:bottom w:val="single" w:sz="6" w:space="1" w:color="1F497D"/>
        </w:pBdr>
      </w:pPr>
    </w:p>
    <w:p>
      <w:pPr>
        <w:spacing w:after="320"/>
        <w:jc w:val="left"/>
      </w:pPr>
      <w:r>
        <w:rPr>
          <w:rFonts w:ascii="Calibri" w:hAnsi="Calibri"/>
          <w:color w:val="808080"/>
          <w:sz w:val="18"/>
        </w:rPr>
        <w:t>A cura della Redazione Ratio  •  1 maggio 2026</w:t>
      </w:r>
    </w:p>
    <w:p>
      <w:pPr>
        <w:spacing w:after="160" w:line="320" w:lineRule="exact"/>
        <w:jc w:val="both"/>
      </w:pPr>
      <w:r>
        <w:rPr>
          <w:rFonts w:ascii="Calibri" w:hAnsi="Calibri"/>
          <w:sz w:val="22"/>
        </w:rPr>
        <w:t>Immagina di tornare in studio dopo una riunione di due ore e trovare il riepilogo mensile delle fatture già compilato. Le anomalie IVA sono state segnalate in una nota separata, tre fatture problematiche sono state messe in evidenza con una spiegazione sintetica. Nessun collaboratore era in ufficio. Lo ha fatto il software, aprendo applicazioni, navigando tra finestre, copiando dati da un gestionale all’altro come farebbe un operatore alla scrivania.</w:t>
      </w:r>
    </w:p>
    <w:p>
      <w:pPr>
        <w:spacing w:after="160" w:line="320" w:lineRule="exact"/>
        <w:jc w:val="both"/>
      </w:pPr>
      <w:r>
        <w:rPr>
          <w:rFonts w:ascii="Calibri" w:hAnsi="Calibri"/>
          <w:sz w:val="22"/>
        </w:rPr>
        <w:t>Questo non è un esempio ipotetico. Il 5 marzo 2026, OpenAI ha rilasciato GPT-5.4, il primo modello general-purpose della casa con computer use nativo integrato: la capacità di controllare il mouse, aprire programmi, compilare campi, scaricare file e lavorare su più applicazioni in sequenza senza alcun intervento umano tra un passo e l’altro. Nei test di riferimento, il modello raggiunge il 75% di successo su OSWorld-Verified, il benchmark internazionale per la misurazione del controllo informatico, superando la media degli operatori umani attestata al 72,4%.</w:t>
      </w:r>
    </w:p>
    <w:p>
      <w:pPr>
        <w:spacing w:before="280" w:after="120"/>
      </w:pPr>
      <w:r>
        <w:rPr>
          <w:rFonts w:ascii="Calibri" w:hAnsi="Calibri"/>
          <w:b/>
          <w:color w:val="1F497D"/>
          <w:sz w:val="24"/>
        </w:rPr>
        <w:t>Cosa significa “usare il computer” per un modello AI</w:t>
      </w:r>
    </w:p>
    <w:p>
      <w:pPr>
        <w:spacing w:after="160" w:line="320" w:lineRule="exact"/>
        <w:jc w:val="both"/>
      </w:pPr>
      <w:r>
        <w:rPr>
          <w:rFonts w:ascii="Calibri" w:hAnsi="Calibri"/>
          <w:sz w:val="22"/>
        </w:rPr>
        <w:t>La distinzione con i modelli precedenti vale la pena di capirla per valutare l’impatto pratico. Gli assistenti AI che molti professionisti usano già da mesi (ChatGPT, Claude, Gemini) operano in modalità conversazionale: ricevono testo, producono testo. L’utente deve poi trasferire quell’output nel suo gestionale, nella sua email, nel suo foglio Excel, e questo passaggio richiede tempo e introduce la possibilità di errori. Il modello risponde, ma non agisce.</w:t>
      </w:r>
    </w:p>
    <w:p>
      <w:pPr>
        <w:spacing w:after="160" w:line="320" w:lineRule="exact"/>
        <w:jc w:val="both"/>
      </w:pPr>
      <w:r>
        <w:rPr>
          <w:rFonts w:ascii="Calibri" w:hAnsi="Calibri"/>
          <w:sz w:val="22"/>
        </w:rPr>
        <w:t>GPT-5.4 cambia questo schema. Può aprire il browser, cercare dati su un portale esterno, scaricare un documento, aprire Excel, inserire i valori nelle celle corrette e chiudere la sessione. Il termine tecnico è “computer use” o “agentic computer control”, e segnala una trasformazione qualitativa nel modo in cui il modello interagisce con l’ambiente digitale di lavoro. Per i professionisti che gestiscono flussi documentali strutturati (inserimento dati, riconciliazione, compilazione di moduli standard) questo significa che alcune attività oggi gestite da personale amministrativo diventano automatizzabili con una supervisione umana molto più leggera.</w:t>
      </w:r>
    </w:p>
    <w:p>
      <w:pPr>
        <w:spacing w:before="280" w:after="120"/>
      </w:pPr>
      <w:r>
        <w:rPr>
          <w:rFonts w:ascii="Calibri" w:hAnsi="Calibri"/>
          <w:b/>
          <w:color w:val="1F497D"/>
          <w:sz w:val="24"/>
        </w:rPr>
        <w:t>I limiti che contano</w:t>
      </w:r>
    </w:p>
    <w:p>
      <w:pPr>
        <w:spacing w:after="160" w:line="320" w:lineRule="exact"/>
        <w:jc w:val="both"/>
      </w:pPr>
      <w:r>
        <w:rPr>
          <w:rFonts w:ascii="Calibri" w:hAnsi="Calibri"/>
          <w:sz w:val="22"/>
        </w:rPr>
        <w:t>Il 75% di successo su benchmark significa anche il 25% di insuccesso o errore. Su un compito come la compilazione di una dichiarazione IVA o la riconciliazione di estratti bancari, un errore al 25% non è accettabile senza revisione umana. Il computer use funziona bene su task strutturati e ripetitivi, molto meno su eccezioni, interfacce non standard o decisioni che richiedono giudizio contestuale.</w:t>
      </w:r>
    </w:p>
    <w:p>
      <w:pPr>
        <w:spacing w:after="160" w:line="320" w:lineRule="exact"/>
        <w:jc w:val="both"/>
      </w:pPr>
      <w:r>
        <w:rPr>
          <w:rFonts w:ascii="Calibri" w:hAnsi="Calibri"/>
          <w:sz w:val="22"/>
        </w:rPr>
        <w:t>Questo è il punto su cui i professionisti devono prestare la massima attenzione. La tentazione, con uno strumento così potente, è di delegare troppo. Un agente che usa il computer produce risultati visibili, credibili, ben formattati, che sembrano opera di un operatore competente. Ma la plausibilità dell’output non è sinonimo di correttezza. La firma sul documento rimane del professionista, e la responsabilità verso il cliente non si trasferisce al modello che ha compilato la bozza.</w:t>
      </w:r>
    </w:p>
    <w:p>
      <w:pPr>
        <w:spacing w:before="280" w:after="120"/>
      </w:pPr>
      <w:r>
        <w:rPr>
          <w:rFonts w:ascii="Calibri" w:hAnsi="Calibri"/>
          <w:b/>
          <w:color w:val="1F497D"/>
          <w:sz w:val="24"/>
        </w:rPr>
        <w:t>Come si usa in pratica nello studio professionale</w:t>
      </w:r>
    </w:p>
    <w:p>
      <w:pPr>
        <w:spacing w:after="160" w:line="320" w:lineRule="exact"/>
        <w:jc w:val="both"/>
      </w:pPr>
      <w:r>
        <w:rPr>
          <w:rFonts w:ascii="Calibri" w:hAnsi="Calibri"/>
          <w:sz w:val="22"/>
        </w:rPr>
        <w:t>Le applicazioni più mature per chi lavora in ambito contabile o legale sono, al momento, quelle che operano su processi altamente strutturati: riconciliazione di estratti bancari con la prima nota, verifica di scadenze e posizioni debitorie su portali esterni, compilazione di preventivi e lettere di incarico da template predefiniti, raccolta e sintesi di dati da più fonti documentali. Sono tutti compiti che hanno in comune un input prevedibile e una sequenza di passi definita.</w:t>
      </w:r>
    </w:p>
    <w:p>
      <w:pPr>
        <w:spacing w:after="160" w:line="320" w:lineRule="exact"/>
        <w:jc w:val="both"/>
      </w:pPr>
      <w:r>
        <w:rPr>
          <w:rFonts w:ascii="Calibri" w:hAnsi="Calibri"/>
          <w:sz w:val="22"/>
        </w:rPr>
        <w:t>La configurazione richiede comunque una fase di setup: definire le credenziali che il modello può usare, i limiti di accesso alle applicazioni, le regole di escalation verso l’operatore umano quando il compito esce dallo schema previsto. Questo lavoro non è tecnicamente complesso, ma richiede una riflessione approfondita sui propri processi, non solo sul software da adottare.</w:t>
      </w:r>
    </w:p>
    <w:p>
      <w:pPr>
        <w:spacing w:after="160" w:line="320" w:lineRule="exact"/>
        <w:jc w:val="both"/>
      </w:pPr>
      <w:r>
        <w:rPr>
          <w:rFonts w:ascii="Calibri" w:hAnsi="Calibri"/>
          <w:sz w:val="22"/>
        </w:rPr>
        <w:t>Il consiglio più utile che emerge da chi ha già adottato questi strumenti in contesti professionali strutturati è uno: non partire dai compiti più visibili o importanti. Iniziare da un processo che già funziona bene, di cui si conoscono tutte le eccezioni possibili, e osservare dove il modello diverge dall’aspettativa. Solo così si capisce dove serve la supervisione umana e dove il modello è davvero affidabile senza controllo continuo.</w:t>
      </w:r>
    </w:p>
    <w:p>
      <w:pPr>
        <w:spacing w:before="280" w:after="120"/>
      </w:pPr>
      <w:r>
        <w:rPr>
          <w:rFonts w:ascii="Calibri" w:hAnsi="Calibri"/>
          <w:b/>
          <w:color w:val="1F497D"/>
          <w:sz w:val="24"/>
        </w:rPr>
        <w:t>La governance del processo, non solo dell’output</w:t>
      </w:r>
    </w:p>
    <w:p>
      <w:pPr>
        <w:spacing w:after="160" w:line="320" w:lineRule="exact"/>
        <w:jc w:val="both"/>
      </w:pPr>
      <w:r>
        <w:rPr>
          <w:rFonts w:ascii="Calibri" w:hAnsi="Calibri"/>
          <w:sz w:val="22"/>
        </w:rPr>
        <w:t>La disponibilità del computer use a livello general-purpose non cambia solo l’efficienza di certi compiti. Cambia la natura della supervisione professionale. Chi usa questi strumenti non deve più solo verificare un testo generato, ma capire cosa il modello ha fatto concretamente sul proprio sistema: quali dati ha letto, quali ha modificato, quali decisioni operative ha preso in autonomia. Il controllo si sposta dalla revisione dell’output alla governance del processo.</w:t>
      </w:r>
    </w:p>
    <w:p>
      <w:pPr>
        <w:spacing w:after="160" w:line="320" w:lineRule="exact"/>
        <w:jc w:val="both"/>
      </w:pPr>
      <w:r>
        <w:rPr>
          <w:rFonts w:ascii="Calibri" w:hAnsi="Calibri"/>
          <w:sz w:val="22"/>
        </w:rPr>
        <w:t>Studi e imprese che si organizzeranno in questa direzione avranno uno strumento molto potente. Quelli che si limiteranno ad attivare il computer use senza ripensare la supervisione si troveranno a gestire errori difficili da intercettare in tempo, proprio perché il modello agisce in modo autonomo e produce risultati che sembrano corretti anche quando non lo sono. La prossima competenza critica per il professionista non è saper usare l’AI: è saper definire cosa l’AI può fare senza essere guardato.</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OpenAI — GPT-5.4 Technical Report (marzo 2026)</w:t>
      </w:r>
    </w:p>
    <w:p>
      <w:pPr>
        <w:spacing w:after="40"/>
      </w:pPr>
      <w:r>
        <w:rPr>
          <w:rFonts w:ascii="Calibri" w:hAnsi="Calibri"/>
          <w:color w:val="606060"/>
          <w:sz w:val="17"/>
        </w:rPr>
        <w:t>• OSWorld-Verified Benchmark — Computer Use Evaluation (2026)</w:t>
      </w:r>
    </w:p>
    <w:p>
      <w:pPr>
        <w:spacing w:after="40"/>
      </w:pPr>
      <w:r>
        <w:rPr>
          <w:rFonts w:ascii="Calibri" w:hAnsi="Calibri"/>
          <w:color w:val="606060"/>
          <w:sz w:val="17"/>
        </w:rPr>
        <w:t>• AI4Business — “GPT-5.4: la nuova generazione dell’AI per il lavoro professionale” (2026)</w:t>
      </w:r>
    </w:p>
    <w:p>
      <w:pPr>
        <w:spacing w:after="40"/>
      </w:pPr>
      <w:r>
        <w:rPr>
          <w:rFonts w:ascii="Calibri" w:hAnsi="Calibri"/>
          <w:color w:val="606060"/>
          <w:sz w:val="17"/>
        </w:rPr>
        <w:t>• SmartWorld — “OpenAI lancia GPT-5.4: ora l’IA sa davvero lavorare al posto nostro” (2026)</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