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Maggio 2026  |  Strumenti e Modelli AI</w:t>
      </w:r>
    </w:p>
    <w:p/>
    <w:p>
      <w:pPr>
        <w:spacing w:after="120"/>
        <w:jc w:val="left"/>
      </w:pPr>
      <w:r>
        <w:rPr>
          <w:rFonts w:ascii="Calibri" w:hAnsi="Calibri"/>
          <w:b/>
          <w:color w:val="1F497D"/>
          <w:sz w:val="48"/>
        </w:rPr>
        <w:t>Claude 4.7, GPT-5.5, Gemini:</w:t>
        <w:br/>
        <w:t>come scegliere senza restare intrappolati</w:t>
      </w:r>
    </w:p>
    <w:p>
      <w:pPr>
        <w:spacing w:after="200"/>
        <w:jc w:val="left"/>
      </w:pPr>
      <w:r>
        <w:rPr>
          <w:rFonts w:ascii="Calibri" w:hAnsi="Calibri"/>
          <w:i/>
          <w:color w:val="2E74B5"/>
          <w:sz w:val="26"/>
        </w:rPr>
        <w:t>Il confronto tra modelli AI è diventato uno sport popolare. Per un professionista o un'azienda, però, la domanda giusta non è quale vince i benchmark.</w:t>
      </w:r>
    </w:p>
    <w:p>
      <w:pPr>
        <w:spacing w:after="40" w:before="40"/>
        <w:pBdr>
          <w:bottom w:val="single" w:sz="6" w:space="1" w:color="1F497D"/>
        </w:pBdr>
      </w:pPr>
    </w:p>
    <w:p>
      <w:pPr>
        <w:spacing w:after="320"/>
        <w:jc w:val="left"/>
      </w:pPr>
      <w:r>
        <w:rPr>
          <w:rFonts w:ascii="Calibri" w:hAnsi="Calibri"/>
          <w:color w:val="808080"/>
          <w:sz w:val="18"/>
        </w:rPr>
        <w:t>A cura della Redazione Ratio  •  1 maggio 2026</w:t>
      </w:r>
    </w:p>
    <w:p>
      <w:pPr>
        <w:spacing w:after="160" w:line="320" w:lineRule="exact"/>
        <w:jc w:val="both"/>
      </w:pPr>
      <w:r>
        <w:rPr>
          <w:rFonts w:ascii="Calibri" w:hAnsi="Calibri"/>
          <w:sz w:val="22"/>
        </w:rPr>
        <w:t>Uno studio legale milanese ha cambiato tre volte strumento AI negli ultimi diciotto mesi. Prima ChatGPT, poi Claude perché "scrive meglio in italiano", poi di nuovo ChatGPT con il nuovo modello, poi una soluzione enterprise di Microsoft. Ogni cambio ha richiesto una fase di adattamento: nuovi prompt, nuove abitudini, nuovi template. Il tempo perso nei transiti è stato stimato internamente in quattro settimane di produttività ridotta. Nessuno dei modelli era sbagliato. La scelta, ogni volta, era stata fatta senza criteri.</w:t>
      </w:r>
    </w:p>
    <w:p>
      <w:pPr>
        <w:spacing w:after="160" w:line="320" w:lineRule="exact"/>
        <w:jc w:val="both"/>
      </w:pPr>
      <w:r>
        <w:rPr>
          <w:rFonts w:ascii="Calibri" w:hAnsi="Calibri"/>
          <w:sz w:val="22"/>
        </w:rPr>
        <w:t>La proliferazione di modelli nel 2026 ha reso questo problema molto più comune. Anthropic ha rilasciato Claude Opus 4.7 nell'aprile 2026, con capacità agenziali avanzate e un contesto di 200.000 token. OpenAI ha risposto a fine aprile con GPT-5.5, con computer use migliorato e 78,7% su OSWorld-Verified. Google continua ad aggiornare la famiglia Gemini con integrazioni sempre più profonde in Google Workspace. Il confronto tecnico tra modelli è reale, ma per un professionista che deve scegliere uno strumento da usare nel lavoro quotidiano, i benchmark sono spesso irrilevanti.</w:t>
      </w:r>
    </w:p>
    <w:p>
      <w:pPr>
        <w:spacing w:before="280" w:after="120"/>
      </w:pPr>
      <w:r>
        <w:rPr>
          <w:rFonts w:ascii="Calibri" w:hAnsi="Calibri"/>
          <w:b/>
          <w:color w:val="1F497D"/>
          <w:sz w:val="24"/>
        </w:rPr>
        <w:t>I criteri che contano davvero</w:t>
      </w:r>
    </w:p>
    <w:p>
      <w:pPr>
        <w:spacing w:after="160" w:line="320" w:lineRule="exact"/>
        <w:jc w:val="both"/>
      </w:pPr>
      <w:r>
        <w:rPr>
          <w:rFonts w:ascii="Calibri" w:hAnsi="Calibri"/>
          <w:sz w:val="22"/>
        </w:rPr>
        <w:t>La prima domanda da farsi non è "quale modello scrive meglio?" ma "in quale sistema di lavoro si inserisce questo strumento?". Un modello eccellente per la redazione di testi giuridici, ma senza integrazione nativa con il gestionale dello studio, genera più frizione di un modello tecnicamente meno potente ma già integrato nella piattaforma usata ogni giorno. La scelta del modello è, in buona parte, una scelta di architettura del flusso di lavoro.</w:t>
      </w:r>
    </w:p>
    <w:p>
      <w:pPr>
        <w:spacing w:after="160" w:line="320" w:lineRule="exact"/>
        <w:jc w:val="both"/>
      </w:pPr>
      <w:r>
        <w:rPr>
          <w:rFonts w:ascii="Calibri" w:hAnsi="Calibri"/>
          <w:sz w:val="22"/>
        </w:rPr>
        <w:t>Per i professionisti e le PMI italiane, i criteri pratici più rilevanti nel 2026 sono quattro. Il primo è la residenza dei dati: le informazioni professionali riservate (dati fiscali, contenuto di pratiche, dati personali dei clienti) non possono transitare su server extra-UE senza adeguate garanzie contrattuali. Microsoft Copilot, Google Workspace con Gemini e la versione enterprise di Claude offrono oggi opzioni con data residency in Europa; ChatGPT Plus standard non garantisce questa localizzazione.</w:t>
      </w:r>
    </w:p>
    <w:p>
      <w:pPr>
        <w:spacing w:after="160" w:line="320" w:lineRule="exact"/>
        <w:jc w:val="both"/>
      </w:pPr>
      <w:r>
        <w:rPr>
          <w:rFonts w:ascii="Calibri" w:hAnsi="Calibri"/>
          <w:sz w:val="22"/>
        </w:rPr>
        <w:t>Il secondo criterio è l'integrazione. I modelli che si collegano agli strumenti già in uso (Microsoft 365, Google Workspace, gestionali come TeamSystem o Zucchetti) eliminano il passaggio manuale di dati tra sistemi e riducono il rischio di errori di trascrizione. Il terzo è la stabilità dell'API: chi usa i modelli via API deve valutare la politica di deprecazione del fornitore, perché migrare da un'API all'altra ha costi non banali in termini di adattamento dei prompt e revisione dei workflow automatizzati già in produzione.</w:t>
      </w:r>
    </w:p>
    <w:p>
      <w:pPr>
        <w:spacing w:after="160" w:line="320" w:lineRule="exact"/>
        <w:jc w:val="both"/>
      </w:pPr>
      <w:r>
        <w:rPr>
          <w:rFonts w:ascii="Calibri" w:hAnsi="Calibri"/>
          <w:sz w:val="22"/>
        </w:rPr>
        <w:t>Il quarto criterio, spesso il più trascurato, è il costo per caso d'uso reale. I listini pubblici indicano prezzi per milione di token, ma la spesa effettiva dipende da quanti token consuma ogni richiesta tipica dello studio. Chi usa l'AI per analizzare contratti lunghi consuma token molto diversamente da chi la usa per rispondere a email brevi. Senza una stima del consumo effettivo, il confronto economico tra modelli è puramente teorico.</w:t>
      </w:r>
    </w:p>
    <w:p>
      <w:pPr>
        <w:spacing w:before="280" w:after="120"/>
      </w:pPr>
      <w:r>
        <w:rPr>
          <w:rFonts w:ascii="Calibri" w:hAnsi="Calibri"/>
          <w:b/>
          <w:color w:val="1F497D"/>
          <w:sz w:val="24"/>
        </w:rPr>
        <w:t>Le differenze pratiche tra Claude, GPT e Gemini nel 2026</w:t>
      </w:r>
    </w:p>
    <w:p>
      <w:pPr>
        <w:spacing w:after="160" w:line="320" w:lineRule="exact"/>
        <w:jc w:val="both"/>
      </w:pPr>
      <w:r>
        <w:rPr>
          <w:rFonts w:ascii="Calibri" w:hAnsi="Calibri"/>
          <w:sz w:val="22"/>
        </w:rPr>
        <w:t>Claude Opus 4.7 si distingue, nelle valutazioni dei professionisti che lo usano quotidianamente, per la qualità del ragionamento su testi lunghi e complessi e per la capacità di seguire istruzioni precise in contesti multi-step. La finestra di contesto estesa a 200.000 token lo rende la scelta più naturale per chi deve analizzare contratti articolati, bilanci consolidati o fascicoli di pratiche di grandi dimensioni senza perdere il filo del ragionamento.</w:t>
      </w:r>
    </w:p>
    <w:p>
      <w:pPr>
        <w:spacing w:after="160" w:line="320" w:lineRule="exact"/>
        <w:jc w:val="both"/>
      </w:pPr>
      <w:r>
        <w:rPr>
          <w:rFonts w:ascii="Calibri" w:hAnsi="Calibri"/>
          <w:sz w:val="22"/>
        </w:rPr>
        <w:t>GPT-5.5, con il computer use e la forte integrazione nell'ecosistema OpenAI, è la scelta più performante per i workflow che richiedono automazione operativa: compilare moduli, navigare portali, estrarre dati da siti web, operare su fogli di calcolo in modo autonomo. Gemini Pro, nell'ecosistema Google, è la scelta più naturale per chi ha già Google Workspace come piattaforma principale e vuole un'integrazione profonda con Gmail, Drive e Meet senza infrastrutture aggiuntive.</w:t>
      </w:r>
    </w:p>
    <w:p>
      <w:pPr>
        <w:spacing w:before="280" w:after="120"/>
      </w:pPr>
      <w:r>
        <w:rPr>
          <w:rFonts w:ascii="Calibri" w:hAnsi="Calibri"/>
          <w:b/>
          <w:color w:val="1F497D"/>
          <w:sz w:val="24"/>
        </w:rPr>
        <w:t>Il rischio del lock-in</w:t>
      </w:r>
    </w:p>
    <w:p>
      <w:pPr>
        <w:spacing w:after="160" w:line="320" w:lineRule="exact"/>
        <w:jc w:val="both"/>
      </w:pPr>
      <w:r>
        <w:rPr>
          <w:rFonts w:ascii="Calibri" w:hAnsi="Calibri"/>
          <w:sz w:val="22"/>
        </w:rPr>
        <w:t>Il rischio più concreto nel 2026 non è scegliere il modello sbagliato, ma costruire una dipendenza troppo profonda da un singolo fornitore. I workflow costruiti intorno a un modello specifico (prompt ottimizzati per quel modello, template, integrazioni API, automazioni) sono difficili da trasferire quando il fornitore cambia i prezzi, riduce le capacità del tier in uso, o depreca una funzione su cui è stata costruita un'automazione critica. Questo è già accaduto più volte negli ultimi due anni, e accadrà ancora.</w:t>
      </w:r>
    </w:p>
    <w:p>
      <w:pPr>
        <w:spacing w:after="160" w:line="320" w:lineRule="exact"/>
        <w:jc w:val="both"/>
      </w:pPr>
      <w:r>
        <w:rPr>
          <w:rFonts w:ascii="Calibri" w:hAnsi="Calibri"/>
          <w:sz w:val="22"/>
        </w:rPr>
        <w:t>La strategia più robusta per uno studio o una PMI di dimensioni medie è quella di costruire workflow portabili: testo dei prompt documentato e versionato, logiche di automazione che non dipendano da caratteristiche esclusive di un singolo modello, e una competenza interna sufficiente per valutare le alternative quando si rende necessario un cambio. Non significa usare tutti i modelli contemporaneamente, ma non affidarsi a uno solo come se fosse infrastruttura critica senza alternative.</w:t>
      </w:r>
    </w:p>
    <w:p>
      <w:pPr>
        <w:spacing w:before="280" w:after="120"/>
      </w:pPr>
      <w:r>
        <w:rPr>
          <w:rFonts w:ascii="Calibri" w:hAnsi="Calibri"/>
          <w:b/>
          <w:color w:val="1F497D"/>
          <w:sz w:val="24"/>
        </w:rPr>
        <w:t>La scelta che dura</w:t>
      </w:r>
    </w:p>
    <w:p>
      <w:pPr>
        <w:spacing w:after="160" w:line="320" w:lineRule="exact"/>
        <w:jc w:val="both"/>
      </w:pPr>
      <w:r>
        <w:rPr>
          <w:rFonts w:ascii="Calibri" w:hAnsi="Calibri"/>
          <w:sz w:val="22"/>
        </w:rPr>
        <w:t>Il panorama dei modelli AI cambierà ancora nei prossimi mesi, come ha fatto nei diciotto precedenti. La scelta giusta non è quella del modello più potente in assoluto, ma quella che si integra meglio nel modo di lavorare dello studio o dell'azienda, con il minore rischio di lock-in e il maggiore controllo sui dati dei clienti. Chi sceglie con questi criteri ha un vantaggio duraturo rispetto a chi insegue i benchmark: non cambia strumento ogni tre mesi e riesce a consolidare competenze e workflow che rimangono utili anche quando arriva il modello successivo.</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Anthropic — Claude Opus 4.7 Release Notes (aprile 2026)</w:t>
      </w:r>
    </w:p>
    <w:p>
      <w:pPr>
        <w:spacing w:after="40"/>
      </w:pPr>
      <w:r>
        <w:rPr>
          <w:rFonts w:ascii="Calibri" w:hAnsi="Calibri"/>
          <w:color w:val="606060"/>
          <w:sz w:val="17"/>
        </w:rPr>
        <w:t>• OpenAI — GPT-5.5 for ChatGPT and Codex (aprile 2026)</w:t>
      </w:r>
    </w:p>
    <w:p>
      <w:pPr>
        <w:spacing w:after="40"/>
      </w:pPr>
      <w:r>
        <w:rPr>
          <w:rFonts w:ascii="Calibri" w:hAnsi="Calibri"/>
          <w:color w:val="606060"/>
          <w:sz w:val="17"/>
        </w:rPr>
        <w:t>• Jenova.ai — GPT vs Claude vs Gemini: Confronto Completo dei Modelli AI per il 2026</w:t>
      </w:r>
    </w:p>
    <w:p>
      <w:pPr>
        <w:spacing w:after="40"/>
      </w:pPr>
      <w:r>
        <w:rPr>
          <w:rFonts w:ascii="Calibri" w:hAnsi="Calibri"/>
          <w:color w:val="606060"/>
          <w:sz w:val="17"/>
        </w:rPr>
        <w:t>• Luca Mastella — Claude Opus 4.7 + Claude Design: la guida pratica per il tuo lavoro (2026)</w:t>
      </w:r>
    </w:p>
    <w:p>
      <w:pPr>
        <w:spacing w:after="40"/>
      </w:pPr>
      <w:r>
        <w:rPr>
          <w:rFonts w:ascii="Calibri" w:hAnsi="Calibri"/>
          <w:color w:val="606060"/>
          <w:sz w:val="17"/>
        </w:rPr>
        <w:t>• InfoData / Il Sole 24 Ore — GPT-5.4, il modello che usa il computer (marzo 2026)</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