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Normativa AI</w:t>
      </w:r>
    </w:p>
    <w:p/>
    <w:p>
      <w:pPr>
        <w:spacing w:after="120"/>
        <w:jc w:val="left"/>
      </w:pPr>
      <w:r>
        <w:rPr>
          <w:rFonts w:ascii="Calibri" w:hAnsi="Calibri"/>
          <w:b/>
          <w:color w:val="1F497D"/>
          <w:sz w:val="48"/>
        </w:rPr>
        <w:t>Due agosto 2026: il chatbot</w:t>
        <w:br/>
        <w:t>sul tuo sito deve dichiararsi.</w:t>
      </w:r>
    </w:p>
    <w:p>
      <w:pPr>
        <w:spacing w:after="200"/>
        <w:jc w:val="left"/>
      </w:pPr>
      <w:r>
        <w:rPr>
          <w:rFonts w:ascii="Calibri" w:hAnsi="Calibri"/>
          <w:i/>
          <w:color w:val="2E74B5"/>
          <w:sz w:val="26"/>
        </w:rPr>
        <w:t>L'articolo 50 dell'AI Act non e' stato rinviato dal Digital Omnibus. Dal 2 agosto ogni sistema che interagisce con le persone deve comunicare in modo inequivocabile la propria natura artificiale.</w:t>
      </w:r>
    </w:p>
    <w:p>
      <w:pPr>
        <w:spacing w:after="40" w:before="40"/>
        <w:pBdr>
          <w:bottom w:val="single" w:sz="6" w:space="1" w:color="1F497D"/>
        </w:pBdr>
      </w:pPr>
    </w:p>
    <w:p>
      <w:pPr>
        <w:spacing w:after="320"/>
        <w:jc w:val="left"/>
      </w:pPr>
      <w:r>
        <w:rPr>
          <w:rFonts w:ascii="Calibri" w:hAnsi="Calibri"/>
          <w:color w:val="808080"/>
          <w:sz w:val="18"/>
        </w:rPr>
        <w:t>A cura della Redazione Ratio  •  5 giugno 2026</w:t>
      </w:r>
    </w:p>
    <w:p>
      <w:pPr>
        <w:spacing w:after="160" w:line="320" w:lineRule="exact"/>
        <w:jc w:val="both"/>
      </w:pPr>
      <w:r>
        <w:rPr>
          <w:rFonts w:ascii="Calibri" w:hAnsi="Calibri"/>
          <w:sz w:val="22"/>
        </w:rPr>
        <w:t>Un cliente entra sul sito di uno studio professionale e trova una finestra di chat. Scrive una domanda sulla scadenza per la presentazione della dichiarazione dei redditi e riceve una risposta precisa, cordiale, formulata in modo professionale. Non sa se sta parlando con un operatore dello studio o con un sistema automatico. Non glielo viene detto. Dal 2 agosto 2026, quella situazione configura una violazione dell'articolo 50 del Regolamento UE sull'intelligenza artificiale. La norma e' in vigore senza rinvii, senza deroghe per le PMI, senza soglie dimensionali. Si applica a qualsiasi soggetto che utilizzi un sistema AI per interagire con persone fisiche.</w:t>
      </w:r>
    </w:p>
    <w:p>
      <w:pPr>
        <w:spacing w:after="160" w:line="320" w:lineRule="exact"/>
        <w:jc w:val="both"/>
      </w:pPr>
      <w:r>
        <w:rPr>
          <w:rFonts w:ascii="Calibri" w:hAnsi="Calibri"/>
          <w:sz w:val="22"/>
        </w:rPr>
        <w:t>L'accordo Digital Omnibus del 7 maggio 2026 ha spostato in avanti alcune delle scadenze piu' impegnative dell'AI Act, quelle sui sistemi ad alto rischio, sulla documentazione tecnica e sulla supervisione obbligatoria. Molte imprese hanno letto questa notizia come un segnale di allentamento generale. La lettura e' incompleta. L'articolo 50 era in una parte diversa del regolamento e non e' stato toccato. La scadenza rimane il 2 agosto 2026.</w:t>
      </w:r>
    </w:p>
    <w:p>
      <w:pPr>
        <w:spacing w:before="280" w:after="120"/>
      </w:pPr>
      <w:r>
        <w:rPr>
          <w:rFonts w:ascii="Calibri" w:hAnsi="Calibri"/>
          <w:b/>
          <w:color w:val="1F497D"/>
          <w:sz w:val="24"/>
        </w:rPr>
        <w:t>Cosa dice l'articolo 50 nella pratica</w:t>
      </w:r>
    </w:p>
    <w:p>
      <w:pPr>
        <w:spacing w:after="160" w:line="320" w:lineRule="exact"/>
        <w:jc w:val="both"/>
      </w:pPr>
      <w:r>
        <w:rPr>
          <w:rFonts w:ascii="Calibri" w:hAnsi="Calibri"/>
          <w:sz w:val="22"/>
        </w:rPr>
        <w:t>L'obbligo di trasparenza si articola in due situazioni distinte. La prima riguarda i sistemi che interagiscono direttamente con le persone: chatbot, assistenti virtuali, risponditori automatici via email o messaggio. Tutti questi sistemi devono comunicare, in modo chiaro e comprensibile, che si tratta di un sistema artificiale. La comunicazione deve avvenire prima che l'interazione abbia inizio, non in un footnote a fondo pagina. La seconda situazione riguarda i contenuti generati con strumenti AI e destinati a circolare come documenti, comunicazioni o pubblicazioni: testi, immagini, audio, video. Questi contenuti devono essere marcati come generati o modificati da AI in modo leggibile a macchina, con tecnologie come il watermarking o i metadati di provenienza.</w:t>
      </w:r>
    </w:p>
    <w:p>
      <w:pPr>
        <w:spacing w:after="160" w:line="320" w:lineRule="exact"/>
        <w:jc w:val="both"/>
      </w:pPr>
      <w:r>
        <w:rPr>
          <w:rFonts w:ascii="Calibri" w:hAnsi="Calibri"/>
          <w:sz w:val="22"/>
        </w:rPr>
        <w:t>L'obbligo vale per chi mette in uso il sistema, non per chi lo ha sviluppato. Uno studio professionale che usa un chatbot acquistato da un fornitore e' responsabile di assicurarsi che quel sistema rispetti l'articolo 50. Se il fornitore non lo ha configurato correttamente, il problema e' dello studio, non del fornitore. Questo richiede di verificare, prima del 2 agosto, come funziona ogni strumento AI che interagisce con clienti o terzi.</w:t>
      </w:r>
    </w:p>
    <w:p>
      <w:pPr>
        <w:spacing w:before="280" w:after="120"/>
      </w:pPr>
      <w:r>
        <w:rPr>
          <w:rFonts w:ascii="Calibri" w:hAnsi="Calibri"/>
          <w:b/>
          <w:color w:val="1F497D"/>
          <w:sz w:val="24"/>
        </w:rPr>
        <w:t>Chi controlla e cosa rischia chi non si adegua</w:t>
      </w:r>
    </w:p>
    <w:p>
      <w:pPr>
        <w:spacing w:after="160" w:line="320" w:lineRule="exact"/>
        <w:jc w:val="both"/>
      </w:pPr>
      <w:r>
        <w:rPr>
          <w:rFonts w:ascii="Calibri" w:hAnsi="Calibri"/>
          <w:sz w:val="22"/>
        </w:rPr>
        <w:t>In Italia l'autorita' di vigilanza designata dalla Legge 132/2025 e' l'ACN, l'Agenzia per la Cybersicurezza Nazionale. L'ACN puo' avviare verifiche su segnalazione o d'ufficio. Le sanzioni previste per la violazione degli obblighi di trasparenza possono arrivare fino a 15 milioni di euro o al 3% del fatturato annuo globale, con la soglia piu' alta che si applica. Per una PMI con fatturato nella media, il 3% del fatturato e' una cifra concreta. Ma la sanzione pecuniaria non e' l'unico rischio.</w:t>
      </w:r>
    </w:p>
    <w:p>
      <w:pPr>
        <w:spacing w:after="160" w:line="320" w:lineRule="exact"/>
        <w:jc w:val="both"/>
      </w:pPr>
      <w:r>
        <w:rPr>
          <w:rFonts w:ascii="Calibri" w:hAnsi="Calibri"/>
          <w:sz w:val="22"/>
        </w:rPr>
        <w:t>Un cliente che scopre di aver interagito con un sistema AI senza saperlo, e che ritiene di aver ricevuto informazioni non accurate, ha un argomento in piu' per contestare la qualita' del servizio ricevuto. Per uno studio professionale, la fiducia del cliente e' il bene piu' difficile da ricostruire. Dichiarare la natura artificiale di uno strumento non indebolisce quella fiducia: al contrario, la gestione trasparente degli strumenti che si usano e' un elemento di professionalita'.</w:t>
      </w:r>
    </w:p>
    <w:p>
      <w:pPr>
        <w:spacing w:before="280" w:after="120"/>
      </w:pPr>
      <w:r>
        <w:rPr>
          <w:rFonts w:ascii="Calibri" w:hAnsi="Calibri"/>
          <w:b/>
          <w:color w:val="1F497D"/>
          <w:sz w:val="24"/>
        </w:rPr>
        <w:t>Tre cose da fare entro la fine di giugno</w:t>
      </w:r>
    </w:p>
    <w:p>
      <w:pPr>
        <w:spacing w:after="160" w:line="320" w:lineRule="exact"/>
        <w:jc w:val="both"/>
      </w:pPr>
      <w:r>
        <w:rPr>
          <w:rFonts w:ascii="Calibri" w:hAnsi="Calibri"/>
          <w:sz w:val="22"/>
        </w:rPr>
        <w:t>Il primo passo e' fare un inventario degli strumenti AI che interagiscono con l'esterno. Chatbot sul sito, risponditori automatici, sistemi di gestione delle email dei clienti: vanno mappati e va verificato se e come comunicano la propria natura. Il secondo passo e' contattare il fornitore di ogni strumento e chiedere come viene gestita la trasparenza ai sensi dell'articolo 50. Se il fornitore non sa rispondere, e' necessario valutare se il contratto in essere include clausole di conformita' normativa e come gestire il rischio residuo. Il terzo passo e' verificare se i documenti prodotti con strumenti AI, pareri, preventivi, comunicazioni commerciali, vengono inviati a clienti o terzi senza alcuna indicazione della loro origine.</w:t>
      </w:r>
    </w:p>
    <w:p>
      <w:pPr>
        <w:spacing w:after="160" w:line="320" w:lineRule="exact"/>
        <w:jc w:val="both"/>
      </w:pPr>
      <w:r>
        <w:rPr>
          <w:rFonts w:ascii="Calibri" w:hAnsi="Calibri"/>
          <w:sz w:val="22"/>
        </w:rPr>
        <w:t>Agosto e' tra otto settimane. Per chi non ha ancora avviato questo tipo di verifica, il tempo e' sufficiente, ma non e' illimitato. Gli adempimenti dell'articolo 50 non richiedono trasformazioni tecnologiche profonde: richiedono consapevolezza di quello che si usa e un livello minimo di configurazione degli strumenti gia' in uso.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art. 50 — obblighi di trasparenza</w:t>
      </w:r>
    </w:p>
    <w:p>
      <w:pPr>
        <w:spacing w:after="40"/>
      </w:pPr>
      <w:r>
        <w:rPr>
          <w:rFonts w:ascii="Calibri" w:hAnsi="Calibri"/>
          <w:color w:val="606060"/>
          <w:sz w:val="17"/>
        </w:rPr>
        <w:t>• Agenda Digitale — "AI Act, dal 2 agosto scatta la trasparenza obbligatoria: cosa cambia e per chi"</w:t>
      </w:r>
    </w:p>
    <w:p>
      <w:pPr>
        <w:spacing w:after="40"/>
      </w:pPr>
      <w:r>
        <w:rPr>
          <w:rFonts w:ascii="Calibri" w:hAnsi="Calibri"/>
          <w:color w:val="606060"/>
          <w:sz w:val="17"/>
        </w:rPr>
        <w:t>• Legge 10 ottobre 2025, n. 132 — designazione ACN come autorita' nazionale di vigilanza AI</w:t>
      </w:r>
    </w:p>
    <w:p>
      <w:pPr>
        <w:spacing w:after="40"/>
      </w:pPr>
      <w:r>
        <w:rPr>
          <w:rFonts w:ascii="Calibri" w:hAnsi="Calibri"/>
          <w:color w:val="606060"/>
          <w:sz w:val="17"/>
        </w:rPr>
        <w:t>• Business Intelligence Group — "AI Act, cosa cambia il 2 agosto 2026"</w:t>
      </w:r>
    </w:p>
    <w:p>
      <w:pPr>
        <w:spacing w:after="40"/>
      </w:pPr>
      <w:r>
        <w:rPr>
          <w:rFonts w:ascii="Calibri" w:hAnsi="Calibri"/>
          <w:color w:val="606060"/>
          <w:sz w:val="17"/>
        </w:rPr>
        <w:t>• Cyberness — "AI Act 2026: divieti, sanzioni e scadenze per le aziende italiane"</w:t>
      </w:r>
    </w:p>
    <w:p>
      <w:pPr>
        <w:spacing w:after="40"/>
      </w:pPr>
      <w:r>
        <w:rPr>
          <w:rFonts w:ascii="Calibri" w:hAnsi="Calibri"/>
          <w:color w:val="606060"/>
          <w:sz w:val="17"/>
        </w:rPr>
        <w:t>• Truescreen — "EU AI Act: obblighi di trasparenza per le aziende nel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