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Responsabilità professionale</w:t>
      </w:r>
    </w:p>
    <w:p/>
    <w:p>
      <w:pPr>
        <w:spacing w:after="120"/>
        <w:jc w:val="left"/>
      </w:pPr>
      <w:r>
        <w:rPr>
          <w:rFonts w:ascii="Calibri" w:hAnsi="Calibri"/>
          <w:b/>
          <w:color w:val="1F497D"/>
          <w:sz w:val="48"/>
        </w:rPr>
        <w:t>Il ricorso lo ha scritto la macchina.</w:t>
        <w:br/>
        <w:t>Il professionista ha pagato.</w:t>
      </w:r>
    </w:p>
    <w:p>
      <w:pPr>
        <w:spacing w:after="200"/>
        <w:jc w:val="left"/>
      </w:pPr>
      <w:r>
        <w:rPr>
          <w:rFonts w:ascii="Calibri" w:hAnsi="Calibri"/>
          <w:i/>
          <w:color w:val="2E74B5"/>
          <w:sz w:val="26"/>
        </w:rPr>
        <w:t>Con l'ordinanza n. 11431/2026 la Cassazione ha dichiarato inammissibile un ricorso che citava sentenze reali ma con principi sbagliati, frutto di allucinazione AI. La diligenza non si delega a nessun algoritmo.</w:t>
      </w:r>
    </w:p>
    <w:p>
      <w:pPr>
        <w:spacing w:after="40" w:before="40"/>
        <w:pBdr>
          <w:bottom w:val="single" w:sz="6" w:space="1" w:color="1F497D"/>
        </w:pBdr>
      </w:pPr>
    </w:p>
    <w:p>
      <w:pPr>
        <w:spacing w:after="320"/>
        <w:jc w:val="left"/>
      </w:pPr>
      <w:r>
        <w:rPr>
          <w:rFonts w:ascii="Calibri" w:hAnsi="Calibri"/>
          <w:color w:val="808080"/>
          <w:sz w:val="18"/>
        </w:rPr>
        <w:t>A cura della Redazione Ratio  •  5 giugno 2026</w:t>
      </w:r>
    </w:p>
    <w:p>
      <w:pPr>
        <w:spacing w:after="160" w:line="320" w:lineRule="exact"/>
        <w:jc w:val="both"/>
      </w:pPr>
      <w:r>
        <w:rPr>
          <w:rFonts w:ascii="Calibri" w:hAnsi="Calibri"/>
          <w:sz w:val="22"/>
        </w:rPr>
        <w:t>Un ricorso penale viene presentato in Cassazione. Le sentenze citate esistono, i numeri di registro sono corretti, le sezioni sono quelle giuste. Solo che i principi di diritto attribuiti a quelle sentenze non corrispondono a quanto quelle sentenze hanno effettivamente deciso. Lo strumento di intelligenza artificiale generativa usato per redigere l'atto ha costruito un ragionamento plausibile, ha trovato precedenti reali, li ha collegati alla tesi da sostenere, e ha sbagliato su quello che conta di più: il significato. La Corte di Cassazione, Sezione Settima Penale, con l'ordinanza n. 11431 del 26 marzo 2026 ha dichiarato il ricorso inammissibile, condannando il ricorrente al pagamento di tremila euro a favore della cassa delle ammende e attribuendo la causa dell'errore a probabile allucinazione informatica conseguente all'uso di applicativi di intelligenza artificiale generativa.</w:t>
      </w:r>
    </w:p>
    <w:p>
      <w:pPr>
        <w:spacing w:after="160" w:line="320" w:lineRule="exact"/>
        <w:jc w:val="both"/>
      </w:pPr>
      <w:r>
        <w:rPr>
          <w:rFonts w:ascii="Calibri" w:hAnsi="Calibri"/>
          <w:sz w:val="22"/>
        </w:rPr>
        <w:t>La sentenza ha fatto discutere negli ambienti forensi perché è la prima volta che la Suprema Corte italiana indica esplicitamente l'allucinazione AI come elemento causale di un'inammissibilità. Ma il problema che solleva non riguarda solo gli avvocati. Riguarda chiunque, commercialista, consulente del lavoro, revisore, usi strumenti di intelligenza artificiale per produrre documenti che poi firma e consegna a un cliente o deposita davanti a un'autorità.</w:t>
      </w:r>
    </w:p>
    <w:p>
      <w:pPr>
        <w:spacing w:before="280" w:after="120"/>
      </w:pPr>
      <w:r>
        <w:rPr>
          <w:rFonts w:ascii="Calibri" w:hAnsi="Calibri"/>
          <w:b/>
          <w:color w:val="1F497D"/>
          <w:sz w:val="24"/>
        </w:rPr>
        <w:t>Cos'è un'allucinazione e perché è diversa da un errore di battitura</w:t>
      </w:r>
    </w:p>
    <w:p>
      <w:pPr>
        <w:spacing w:after="160" w:line="320" w:lineRule="exact"/>
        <w:jc w:val="both"/>
      </w:pPr>
      <w:r>
        <w:rPr>
          <w:rFonts w:ascii="Calibri" w:hAnsi="Calibri"/>
          <w:sz w:val="22"/>
        </w:rPr>
        <w:t>Il termine allucinazione, nel contesto dei modelli linguistici, indica qualcosa di più sottile di un errore di fatto. Un errore di fatto è verificabile: il modello scrive che una norma è entrata in vigore il 3 luglio quando la data corretta è il 3 giugno. Basta controllare. Un'allucinazione giurisprudenziale funziona diversamente: il modello cita una sentenza che esiste, la nomina con il numero corretto, la attribuisce alla sezione giusta, ma ricostruisce il ragionamento giuridico in modo diverso da quello effettivo. Chi non conosce quella sentenza, o chi si fida del fatto che i riferimenti siano verificabili, non ha un segnale immediato che qualcosa non va. La plausibilità formale dell'output nasconde l'errore sostanziale.</w:t>
      </w:r>
    </w:p>
    <w:p>
      <w:pPr>
        <w:spacing w:after="160" w:line="320" w:lineRule="exact"/>
        <w:jc w:val="both"/>
      </w:pPr>
      <w:r>
        <w:rPr>
          <w:rFonts w:ascii="Calibri" w:hAnsi="Calibri"/>
          <w:sz w:val="22"/>
        </w:rPr>
        <w:t>Questo meccanismo non è specifico del diritto. Si manifesta ogni volta che un modello linguistico viene usato per ragionare su un corpus di conoscenze specialistiche. Un commercialista che usa uno strumento AI per costruire un'argomentazione su una norma fiscale ottiene una risposta che cita correttamente la norma, la colloca nell'articolo giusto, ma ne ricostruisce il campo di applicazione in modo parzialmente sbagliato. Se l'errore è coerente con le aspettative del lettore, passare inosservato è la cosa più facile del mondo.</w:t>
      </w:r>
    </w:p>
    <w:p>
      <w:pPr>
        <w:spacing w:before="280" w:after="120"/>
      </w:pPr>
      <w:r>
        <w:rPr>
          <w:rFonts w:ascii="Calibri" w:hAnsi="Calibri"/>
          <w:b/>
          <w:color w:val="1F497D"/>
          <w:sz w:val="24"/>
        </w:rPr>
        <w:t>La responsabilità rimane dove è sempre stata</w:t>
      </w:r>
    </w:p>
    <w:p>
      <w:pPr>
        <w:spacing w:after="160" w:line="320" w:lineRule="exact"/>
        <w:jc w:val="both"/>
      </w:pPr>
      <w:r>
        <w:rPr>
          <w:rFonts w:ascii="Calibri" w:hAnsi="Calibri"/>
          <w:sz w:val="22"/>
        </w:rPr>
        <w:t>La Corte ha chiarito un principio che molti avevano già intuito ma che adesso ha un riferimento giurisprudenziale preciso: l'uso di strumenti AI per la ricerca, la sintesi e la strutturazione di documenti professionali non esonera il professionista dai propri doveri di diligenza e competenza. Selezionare, verificare e validare le fonti è un'attività intellettuale che non si può affidare a sistemi automatizzati. Chi firma è responsabile di quello che firma, indipendentemente da come lo ha prodotto.</w:t>
      </w:r>
    </w:p>
    <w:p>
      <w:pPr>
        <w:spacing w:after="160" w:line="320" w:lineRule="exact"/>
        <w:jc w:val="both"/>
      </w:pPr>
      <w:r>
        <w:rPr>
          <w:rFonts w:ascii="Calibri" w:hAnsi="Calibri"/>
          <w:sz w:val="22"/>
        </w:rPr>
        <w:t>Detto in altri termini: usare uno strumento AI non è una causa di esclusione della colpa processuale, è semmai una spiegazione del meccanismo con cui l'errore si è prodotto. La Corte ha usato questa spiegazione per descrivere l'accaduto, non per attenuare la responsabilità del difensore. Anzi, l'ha quantificata in tremila euro.</w:t>
      </w:r>
    </w:p>
    <w:p>
      <w:pPr>
        <w:spacing w:before="280" w:after="120"/>
      </w:pPr>
      <w:r>
        <w:rPr>
          <w:rFonts w:ascii="Calibri" w:hAnsi="Calibri"/>
          <w:b/>
          <w:color w:val="1F497D"/>
          <w:sz w:val="24"/>
        </w:rPr>
        <w:t>Cosa cambia nella pratica professionale</w:t>
      </w:r>
    </w:p>
    <w:p>
      <w:pPr>
        <w:spacing w:after="160" w:line="320" w:lineRule="exact"/>
        <w:jc w:val="both"/>
      </w:pPr>
      <w:r>
        <w:rPr>
          <w:rFonts w:ascii="Calibri" w:hAnsi="Calibri"/>
          <w:sz w:val="22"/>
        </w:rPr>
        <w:t>Per un professionista che già usa strumenti AI nel proprio lavoro quotidiano, questa ordinanza non chiede di smettere di usarli. Chiede di usarli con un livello di verifica proporzionato al rischio dell'output. Un documento prodotto con l'AI che viene consegnato a un cliente come analisi interna ha un livello di rischio diverso da uno che viene depositato davanti a un organo giurisdizionale o inviato a un ente pubblico. Il grado di verifica richiesto deve essere proporzionato.</w:t>
      </w:r>
    </w:p>
    <w:p>
      <w:pPr>
        <w:spacing w:after="160" w:line="320" w:lineRule="exact"/>
        <w:jc w:val="both"/>
      </w:pPr>
      <w:r>
        <w:rPr>
          <w:rFonts w:ascii="Calibri" w:hAnsi="Calibri"/>
          <w:sz w:val="22"/>
        </w:rPr>
        <w:t>Sul piano pratico, questo significa due cose. La prima è che qualsiasi riferimento normativo, giurisprudenziale o dottrinale prodotto da uno strumento AI va verificato alla fonte primaria prima di essere usato in un documento ufficiale. Non è sufficiente che il numero di sentenza esista: va controllato che il principio attribuito corrisponda a quello effettivo. La seconda è che il flusso di lavoro con l'AI deve includere un momento esplicito di revisione critica, non come formalità, ma come passaggio del processo in cui il professionista esercita il proprio giudizio. Quel momento è quello che distingue un assistente utile da una fonte di rischio.</w:t>
      </w:r>
    </w:p>
    <w:p>
      <w:pPr>
        <w:spacing w:after="160" w:line="320" w:lineRule="exact"/>
        <w:jc w:val="both"/>
      </w:pPr>
      <w:r>
        <w:rPr>
          <w:rFonts w:ascii="Calibri" w:hAnsi="Calibri"/>
          <w:sz w:val="22"/>
        </w:rPr>
        <w:t>L'ordinanza della Cassazione arriva in un momento in cui molti studi stanno adottando strumenti AI senza avere ancora definito procedure interne su come usarli. Definire quelle procedure adesso, prima che arrivi un episodio simile, è la differenza tra usare la tecnologia come vantaggio e subirla come problema.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Corte di Cassazione, Sez. VII Penale, ordinanza n. 11431, 26 marzo 2026</w:t>
      </w:r>
    </w:p>
    <w:p>
      <w:pPr>
        <w:spacing w:after="40"/>
      </w:pPr>
      <w:r>
        <w:rPr>
          <w:rFonts w:ascii="Calibri" w:hAnsi="Calibri"/>
          <w:color w:val="606060"/>
          <w:sz w:val="17"/>
        </w:rPr>
        <w:t>• Sistema Penale — commento all'ordinanza: allucinazioni giurisprudenziali e inammissibilita' del ricorso</w:t>
      </w:r>
    </w:p>
    <w:p>
      <w:pPr>
        <w:spacing w:after="40"/>
      </w:pPr>
      <w:r>
        <w:rPr>
          <w:rFonts w:ascii="Calibri" w:hAnsi="Calibri"/>
          <w:color w:val="606060"/>
          <w:sz w:val="17"/>
        </w:rPr>
        <w:t>• Studio Cervellino Avvocati e Commercialisti — analisi dell'ordinanza (21 maggio 2026)</w:t>
      </w:r>
    </w:p>
    <w:p>
      <w:pPr>
        <w:spacing w:after="40"/>
      </w:pPr>
      <w:r>
        <w:rPr>
          <w:rFonts w:ascii="Calibri" w:hAnsi="Calibri"/>
          <w:color w:val="606060"/>
          <w:sz w:val="17"/>
        </w:rPr>
        <w:t>• Blasto Online — "Quando il ricorso lo scrive la macchina" (Cass. pen., Sez. VII, ord. n. 11431/2026)</w:t>
      </w:r>
    </w:p>
    <w:p>
      <w:pPr>
        <w:spacing w:after="40"/>
      </w:pPr>
      <w:r>
        <w:rPr>
          <w:rFonts w:ascii="Calibri" w:hAnsi="Calibri"/>
          <w:color w:val="606060"/>
          <w:sz w:val="17"/>
        </w:rPr>
        <w:t>• Milano Post — "Cassazione e IA: la diligenza digitale contrapposta alla falsa autorevolezza" (29 maggio 2026)</w:t>
      </w:r>
    </w:p>
    <w:p>
      <w:pPr>
        <w:spacing w:after="40"/>
      </w:pPr>
      <w:r>
        <w:rPr>
          <w:rFonts w:ascii="Calibri" w:hAnsi="Calibri"/>
          <w:color w:val="606060"/>
          <w:sz w:val="17"/>
        </w:rPr>
        <w:t>• Fisco 7 — "Intelligenza artificiale negli studi professionali: responsabilita' operative" (maggio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