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Giugno 2026  |  Incentivi e Fiscalita'</w:t>
      </w:r>
    </w:p>
    <w:p/>
    <w:p>
      <w:pPr>
        <w:spacing w:after="120"/>
        <w:jc w:val="left"/>
      </w:pPr>
      <w:r>
        <w:rPr>
          <w:rFonts w:ascii="Calibri" w:hAnsi="Calibri"/>
          <w:b/>
          <w:color w:val="1F497D"/>
          <w:sz w:val="48"/>
        </w:rPr>
        <w:t>Iperammortamento al 180%: il software AI</w:t>
        <w:br/>
        <w:t>entra in bilancio con gli incentivi 5.0.</w:t>
      </w:r>
    </w:p>
    <w:p>
      <w:pPr>
        <w:spacing w:after="200"/>
        <w:jc w:val="left"/>
      </w:pPr>
      <w:r>
        <w:rPr>
          <w:rFonts w:ascii="Calibri" w:hAnsi="Calibri"/>
          <w:i/>
          <w:color w:val="2E74B5"/>
          <w:sz w:val="26"/>
        </w:rPr>
        <w:t>Dal 1 gennaio 2026 il credito d'imposta Transizione 5.0 e' stato sostituito da un iperammortamento che copre software e sistemi AI fino a 2,5 milioni. La maggior parte delle PMI non lo sa ancora.</w:t>
      </w:r>
    </w:p>
    <w:p>
      <w:pPr>
        <w:spacing w:after="40" w:before="40"/>
        <w:pBdr>
          <w:bottom w:val="single" w:sz="6" w:space="1" w:color="1F497D"/>
        </w:pBdr>
      </w:pPr>
    </w:p>
    <w:p>
      <w:pPr>
        <w:spacing w:after="320"/>
        <w:jc w:val="left"/>
      </w:pPr>
      <w:r>
        <w:rPr>
          <w:rFonts w:ascii="Calibri" w:hAnsi="Calibri"/>
          <w:color w:val="808080"/>
          <w:sz w:val="18"/>
        </w:rPr>
        <w:t>A cura della Redazione Ratio  •  5 giugno 2026</w:t>
      </w:r>
    </w:p>
    <w:p>
      <w:pPr>
        <w:spacing w:after="160" w:line="320" w:lineRule="exact"/>
        <w:jc w:val="both"/>
      </w:pPr>
      <w:r>
        <w:rPr>
          <w:rFonts w:ascii="Calibri" w:hAnsi="Calibri"/>
          <w:sz w:val="22"/>
        </w:rPr>
        <w:t>Se un cliente ti porta il contratto di abbonamento annuale per un sistema AI che ha appena introdotto in azienda e ti chiede come trattarlo fiscalmente, la risposta non e' piu' quella di qualche mese fa. Dal 1 gennaio 2026 la Legge di Bilancio ha sostituito il credito d'imposta Transizione 5.0 con un meccanismo di super-ammortamento per gli investimenti in beni digitali. L'aliquota per la fascia fino a 2,5 milioni di euro e' del 180%. Un software AI acquistato o sottoscritto in abbonamento per ottimizzare un processo aziendale, se rientra tra i beni ammissibili, si porta in deduzione per un importo pari a una volta e mezza il suo costo. Su dieci euro spesi, se ne deducono diciotto.</w:t>
      </w:r>
    </w:p>
    <w:p>
      <w:pPr>
        <w:spacing w:after="160" w:line="320" w:lineRule="exact"/>
        <w:jc w:val="both"/>
      </w:pPr>
      <w:r>
        <w:rPr>
          <w:rFonts w:ascii="Calibri" w:hAnsi="Calibri"/>
          <w:sz w:val="22"/>
        </w:rPr>
        <w:t>La novita' non e' solo quantitativa. Il meccanismo precedente, quello del credito d'imposta Transizione 5.0, aveva requisiti di interconnessione con il sistema produttivo e di rendicontazione energetica che ne complicavano l'accesso per le aziende di servizi e gli studi professionali. Il nuovo iperammortamento ha una struttura piu' vicina al classico super-ammortamento del piano Industria 4.0, con aggiornamenti che includono esplicitamente le tecnologie legate all'intelligenza artificiale, alla cybersecurity e al software gestionale avanzato. Il decreto attuativo era ancora in fase di iter normativo a fine maggio 2026, ma il quadro di riferimento e' gia' operativo.</w:t>
      </w:r>
    </w:p>
    <w:p>
      <w:pPr>
        <w:spacing w:before="280" w:after="120"/>
      </w:pPr>
      <w:r>
        <w:rPr>
          <w:rFonts w:ascii="Calibri" w:hAnsi="Calibri"/>
          <w:b/>
          <w:color w:val="1F497D"/>
          <w:sz w:val="24"/>
        </w:rPr>
        <w:t>Cosa rientra negli investimenti ammissibili</w:t>
      </w:r>
    </w:p>
    <w:p>
      <w:pPr>
        <w:spacing w:after="160" w:line="320" w:lineRule="exact"/>
        <w:jc w:val="both"/>
      </w:pPr>
      <w:r>
        <w:rPr>
          <w:rFonts w:ascii="Calibri" w:hAnsi="Calibri"/>
          <w:sz w:val="22"/>
        </w:rPr>
        <w:t>La lista dei beni ammissibili e' in aggiornamento, ma il perimetro attuale include i software pagati per canone (subscription), il che e' rilevante perche' la maggior parte degli strumenti AI di uso professionale e' distribuita in questo modo. Un abbonamento mensile a un sistema di automazione documentale, un agente AI integrato nel gestionale, un software di analisi predittiva per la gestione della tesoreria: questi sono candidati all'agevolazione, a condizione che siano interconnessi con il sistema aziendale e che l'investimento sia tracciato con la documentazione prevista.</w:t>
      </w:r>
    </w:p>
    <w:p>
      <w:pPr>
        <w:spacing w:after="160" w:line="320" w:lineRule="exact"/>
        <w:jc w:val="both"/>
      </w:pPr>
      <w:r>
        <w:rPr>
          <w:rFonts w:ascii="Calibri" w:hAnsi="Calibri"/>
          <w:sz w:val="22"/>
        </w:rPr>
        <w:t>Per i professionisti autonomi, lavoratori autonomi e studi individuali, c'e' una precisazione importante: il nuovo iperammortamento, come il precedente credito d'imposta 5.0, e' riservato alle imprese. I professionisti con partita IVA in regime di lavoro autonomo non rientrano tra i beneficiari. Questo non esclude che le associazioni professionali costituite in forma societaria possano accedere all'agevolazione, ma richiede una verifica della forma giuridica del soggetto richiedente prima di qualsiasi pianificazione fiscale.</w:t>
      </w:r>
    </w:p>
    <w:p>
      <w:pPr>
        <w:spacing w:before="280" w:after="120"/>
      </w:pPr>
      <w:r>
        <w:rPr>
          <w:rFonts w:ascii="Calibri" w:hAnsi="Calibri"/>
          <w:b/>
          <w:color w:val="1F497D"/>
          <w:sz w:val="24"/>
        </w:rPr>
        <w:t>Come si documenta l'investimento</w:t>
      </w:r>
    </w:p>
    <w:p>
      <w:pPr>
        <w:spacing w:after="160" w:line="320" w:lineRule="exact"/>
        <w:jc w:val="both"/>
      </w:pPr>
      <w:r>
        <w:rPr>
          <w:rFonts w:ascii="Calibri" w:hAnsi="Calibri"/>
          <w:sz w:val="22"/>
        </w:rPr>
        <w:t>La documentazione richiesta per fruire dell'iperammortamento segue lo schema consolidato del piano 4.0: perizia tecnica asseverata o dichiarazione del fornitore che attesta le caratteristiche tecnologiche del bene, comunicazione al MIMIT secondo le modalita' previste dal decreto attuativo, e tracciabilita' contabile dell'investimento. Per i beni immateriali, come i software in abbonamento, la documentazione si concentra sulla prova dell'interconnessione con il sistema aziendale e sull'utilizzo effettivo nell'attivita' produttiva o gestionale.</w:t>
      </w:r>
    </w:p>
    <w:p>
      <w:pPr>
        <w:spacing w:after="160" w:line="320" w:lineRule="exact"/>
        <w:jc w:val="both"/>
      </w:pPr>
      <w:r>
        <w:rPr>
          <w:rFonts w:ascii="Calibri" w:hAnsi="Calibri"/>
          <w:sz w:val="22"/>
        </w:rPr>
        <w:t>Per uno studio professionale che assiste una PMI nell'acquisto di un sistema AI, il momento piu' utile per impostare correttamente la documentazione e' quello precedente l'acquisto, non quello successivo. Una volta che l'investimento e' stato contabilizzato senza la prospettiva dell'agevolazione, recuperare i requisiti formali a posteriori e' piu' complesso. La pianificazione fiscale va fatta prima della firma del contratto, non al momento della chiusura del bilancio.</w:t>
      </w:r>
    </w:p>
    <w:p>
      <w:pPr>
        <w:spacing w:before="280" w:after="120"/>
      </w:pPr>
      <w:r>
        <w:rPr>
          <w:rFonts w:ascii="Calibri" w:hAnsi="Calibri"/>
          <w:b/>
          <w:color w:val="1F497D"/>
          <w:sz w:val="24"/>
        </w:rPr>
        <w:t>L'opportunita' che si chiude nel 2028</w:t>
      </w:r>
    </w:p>
    <w:p>
      <w:pPr>
        <w:spacing w:after="160" w:line="320" w:lineRule="exact"/>
        <w:jc w:val="both"/>
      </w:pPr>
      <w:r>
        <w:rPr>
          <w:rFonts w:ascii="Calibri" w:hAnsi="Calibri"/>
          <w:sz w:val="22"/>
        </w:rPr>
        <w:t>La finestra temporale per l'iperammortamento 5.0 copre gli investimenti effettuati dal 1 gennaio 2026 al 30 settembre 2028. Per una PMI che sta valutando se e quando introdurre strumenti AI nei propri processi, questo orizzonte temporale coincide quasi esattamente con la fase piu' critica di adozione: quella in cui gli strumenti sono abbastanza maturi da essere affidabili, abbastanza diffusi da essere comprensibili, e abbastanza regolamentati da poter essere introdotti con un quadro normativo chiaro.</w:t>
      </w:r>
    </w:p>
    <w:p>
      <w:pPr>
        <w:spacing w:after="160" w:line="320" w:lineRule="exact"/>
        <w:jc w:val="both"/>
      </w:pPr>
      <w:r>
        <w:rPr>
          <w:rFonts w:ascii="Calibri" w:hAnsi="Calibri"/>
          <w:sz w:val="22"/>
        </w:rPr>
        <w:t>L'incentivo fiscale non e' la ragione per cui vale la pena introdurre un sistema AI in azienda. Ma se la valutazione operativa e' gia' positiva, avere un'aliquota del 180% sulla deduzione degli investimenti e' un argomento che entra nel piano finanziario e riduce il periodo di payback. Per chi non l'ha ancora fatto, vale la pena farlo entrare nel prossimo budget planning.</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Legge di Bilancio 2026 — iperammortamento beni digitali, art. 1 commi 445-464</w:t>
      </w:r>
    </w:p>
    <w:p>
      <w:pPr>
        <w:spacing w:after="40"/>
      </w:pPr>
      <w:r>
        <w:rPr>
          <w:rFonts w:ascii="Calibri" w:hAnsi="Calibri"/>
          <w:color w:val="606060"/>
          <w:sz w:val="17"/>
        </w:rPr>
        <w:t>• MIMIT — Piano Transizione 5.0: nuove aliquote e beni ammissibili 2026</w:t>
      </w:r>
    </w:p>
    <w:p>
      <w:pPr>
        <w:spacing w:after="40"/>
      </w:pPr>
      <w:r>
        <w:rPr>
          <w:rFonts w:ascii="Calibri" w:hAnsi="Calibri"/>
          <w:color w:val="606060"/>
          <w:sz w:val="17"/>
        </w:rPr>
        <w:t>• PMI.it — "Transizione 5.0: scadenze e novita' 2026 crediti d'imposta"</w:t>
      </w:r>
    </w:p>
    <w:p>
      <w:pPr>
        <w:spacing w:after="40"/>
      </w:pPr>
      <w:r>
        <w:rPr>
          <w:rFonts w:ascii="Calibri" w:hAnsi="Calibri"/>
          <w:color w:val="606060"/>
          <w:sz w:val="17"/>
        </w:rPr>
        <w:t>• PMI.it — "Transizione 5.0: lavoratori autonomi esclusi dagli incentivi"</w:t>
      </w:r>
    </w:p>
    <w:p>
      <w:pPr>
        <w:spacing w:after="40"/>
      </w:pPr>
      <w:r>
        <w:rPr>
          <w:rFonts w:ascii="Calibri" w:hAnsi="Calibri"/>
          <w:color w:val="606060"/>
          <w:sz w:val="17"/>
        </w:rPr>
        <w:t>• Beneggi &amp; Associati — "Piano Transizione 5.0: incentivi, requisiti e documenti richiesti"</w:t>
      </w:r>
    </w:p>
    <w:p>
      <w:pPr>
        <w:spacing w:after="40"/>
      </w:pPr>
      <w:r>
        <w:rPr>
          <w:rFonts w:ascii="Calibri" w:hAnsi="Calibri"/>
          <w:color w:val="606060"/>
          <w:sz w:val="17"/>
        </w:rPr>
        <w:t>• IPSOA — Bonus Transizione 5.0: condizioni e adempimenti per la fruizione</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