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Cloud Migration Assessment Summary</w:t>
      </w:r>
    </w:p>
    <w:p>
      <w:r>
        <w:t>Client: Client Name (TODO: from DB)</w:t>
      </w:r>
    </w:p>
    <w:p/>
    <w:p>
      <w:r>
        <w:rPr>
          <w:b/>
        </w:rPr>
        <w:t>EXECUTIVE OVERVIEW</w:t>
      </w:r>
    </w:p>
    <w:p>
      <w:r>
        <w:t>This is a placeholder executive overview generated by CloudReadyAI. In a later iteration, this will summarize key findings, migration strategy, and projected benefits for the client.</w:t>
      </w:r>
    </w:p>
    <w:p/>
    <w:p>
      <w:r>
        <w:rPr>
          <w:b/>
        </w:rPr>
        <w:t>ENVIRONMENT SNAPSHOT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Servers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Total vCPU</w:t>
            </w:r>
          </w:p>
        </w:tc>
        <w:tc>
          <w:tcPr>
            <w:tcW w:type="dxa" w:w="4320"/>
          </w:tcPr>
          <w:p>
            <w:r>
              <w:t>168 vCPU</w:t>
            </w:r>
          </w:p>
        </w:tc>
      </w:tr>
      <w:tr>
        <w:tc>
          <w:tcPr>
            <w:tcW w:type="dxa" w:w="4320"/>
          </w:tcPr>
          <w:p>
            <w:r>
              <w:t>Total RAM</w:t>
            </w:r>
          </w:p>
        </w:tc>
        <w:tc>
          <w:tcPr>
            <w:tcW w:type="dxa" w:w="4320"/>
          </w:tcPr>
          <w:p>
            <w:r>
              <w:t>1.5 TB</w:t>
            </w:r>
          </w:p>
        </w:tc>
      </w:tr>
      <w:tr>
        <w:tc>
          <w:tcPr>
            <w:tcW w:type="dxa" w:w="4320"/>
          </w:tcPr>
          <w:p>
            <w:r>
              <w:t>Total Storage</w:t>
            </w:r>
          </w:p>
        </w:tc>
        <w:tc>
          <w:tcPr>
            <w:tcW w:type="dxa" w:w="4320"/>
          </w:tcPr>
          <w:p>
            <w:r>
              <w:t>320 TB</w:t>
            </w:r>
          </w:p>
        </w:tc>
      </w:tr>
      <w:tr>
        <w:tc>
          <w:tcPr>
            <w:tcW w:type="dxa" w:w="4320"/>
          </w:tcPr>
          <w:p>
            <w:r>
              <w:t>Distinct Applications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r>
        <w:rPr>
          <w:b/>
        </w:rPr>
        <w:t>KEY RECOMMENDATIONS</w:t>
      </w:r>
    </w:p>
    <w:p>
      <w:pPr>
        <w:pStyle w:val="ListBullet"/>
      </w:pPr>
      <w:r>
        <w:t>- Prioritize migration of low-risk, high-value workloads in Wave 1.</w:t>
      </w:r>
    </w:p>
    <w:p>
      <w:pPr>
        <w:pStyle w:val="ListBullet"/>
      </w:pPr>
      <w:r>
        <w:t>- Refactor legacy .NET applications to PaaS where feasible.</w:t>
      </w:r>
    </w:p>
    <w:p>
      <w:pPr>
        <w:pStyle w:val="ListBullet"/>
      </w:pPr>
      <w:r>
        <w:t>- Introduce centralized monitoring and logging in the target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