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9767" w14:textId="77777777" w:rsidR="00FF547A" w:rsidRDefault="00FF547A" w:rsidP="00B767BF">
      <w:pPr>
        <w:jc w:val="both"/>
        <w:rPr>
          <w:lang w:val="fr-FR"/>
        </w:rPr>
      </w:pPr>
    </w:p>
    <w:p w14:paraId="2BC8662E" w14:textId="5713E6EB" w:rsidR="00FF547A" w:rsidRPr="00FF547A" w:rsidRDefault="00FF547A" w:rsidP="00B767BF">
      <w:pPr>
        <w:pStyle w:val="Heading2"/>
        <w:ind w:left="720" w:firstLine="720"/>
        <w:jc w:val="both"/>
        <w:rPr>
          <w:u w:val="single"/>
          <w:lang w:val="fr-FR"/>
        </w:rPr>
      </w:pPr>
      <w:r w:rsidRPr="00FF547A">
        <w:rPr>
          <w:u w:val="single"/>
          <w:lang w:val="fr-FR"/>
        </w:rPr>
        <w:t>SAE 2.04 : Exploitation d’un BD - Stats</w:t>
      </w:r>
    </w:p>
    <w:p w14:paraId="35951020" w14:textId="77777777" w:rsidR="00FF547A" w:rsidRDefault="00FF547A" w:rsidP="00B767BF">
      <w:pPr>
        <w:jc w:val="both"/>
        <w:rPr>
          <w:lang w:val="fr-FR"/>
        </w:rPr>
      </w:pPr>
    </w:p>
    <w:p w14:paraId="0049557E" w14:textId="69443E18" w:rsidR="00FF547A" w:rsidRDefault="00FF547A" w:rsidP="00B767BF">
      <w:pPr>
        <w:jc w:val="both"/>
        <w:rPr>
          <w:lang w:val="fr-FR"/>
        </w:rPr>
      </w:pPr>
      <w:r>
        <w:rPr>
          <w:lang w:val="fr-FR"/>
        </w:rPr>
        <w:t>Région étudiée : Occitanie</w:t>
      </w:r>
    </w:p>
    <w:p w14:paraId="1AEE09CA" w14:textId="77777777" w:rsidR="00FF547A" w:rsidRDefault="00FF547A" w:rsidP="00B767BF">
      <w:pPr>
        <w:jc w:val="both"/>
        <w:rPr>
          <w:lang w:val="fr-FR"/>
        </w:rPr>
      </w:pPr>
    </w:p>
    <w:p w14:paraId="1F6D035F" w14:textId="43AB67D8" w:rsidR="00BD4DEF" w:rsidRPr="00FF547A" w:rsidRDefault="00BD4DEF" w:rsidP="00B767BF">
      <w:pPr>
        <w:pStyle w:val="Subtitle"/>
        <w:jc w:val="both"/>
        <w:rPr>
          <w:u w:val="single"/>
          <w:lang w:val="fr-FR"/>
        </w:rPr>
      </w:pPr>
      <w:r w:rsidRPr="00FF547A">
        <w:rPr>
          <w:u w:val="single"/>
          <w:lang w:val="fr-FR"/>
        </w:rPr>
        <w:t>Partie I</w:t>
      </w:r>
      <w:r w:rsidR="00FF547A">
        <w:rPr>
          <w:u w:val="single"/>
          <w:lang w:val="fr-FR"/>
        </w:rPr>
        <w:t> : Vérification des assertions</w:t>
      </w:r>
    </w:p>
    <w:p w14:paraId="73E769CC" w14:textId="77777777" w:rsidR="00FF547A" w:rsidRPr="00FF547A" w:rsidRDefault="00FF547A" w:rsidP="00B767BF">
      <w:pPr>
        <w:jc w:val="both"/>
        <w:rPr>
          <w:lang w:val="fr-FR"/>
        </w:rPr>
      </w:pPr>
    </w:p>
    <w:p w14:paraId="3D88A41E" w14:textId="5325FD1D" w:rsidR="00BD4DEF" w:rsidRDefault="00BD4DEF" w:rsidP="00B767BF">
      <w:pPr>
        <w:pStyle w:val="ListParagraph"/>
        <w:numPr>
          <w:ilvl w:val="0"/>
          <w:numId w:val="1"/>
        </w:numPr>
        <w:jc w:val="both"/>
        <w:rPr>
          <w:rStyle w:val="IntenseEmphasis"/>
        </w:rPr>
      </w:pPr>
      <w:r w:rsidRPr="00100A82">
        <w:rPr>
          <w:rStyle w:val="IntenseEmphasis"/>
        </w:rPr>
        <w:t xml:space="preserve">Les filles n’aiment pas les études scientifiques : </w:t>
      </w:r>
    </w:p>
    <w:p w14:paraId="2411E383" w14:textId="7C667030" w:rsidR="00BC5FB7" w:rsidRDefault="00BC5FB7" w:rsidP="00B767BF">
      <w:pPr>
        <w:jc w:val="both"/>
        <w:rPr>
          <w:lang w:val="fr-FR"/>
        </w:rPr>
      </w:pPr>
      <w:r>
        <w:rPr>
          <w:lang w:val="fr-FR"/>
        </w:rPr>
        <w:t xml:space="preserve">Pour pouvoir vérifier cette assertion, nous devons faire la moyenne des filles ayant candidatées à chaque formation scientifique en divisant le nombre de candidatures féminines par le nombre de candidatures total, puis faire la moyenne de l’ensemble des moyennes trouvées. Pour la requête, nous partirons du principe qu’une formation scientifique est une formation </w:t>
      </w:r>
      <w:r w:rsidR="000F2686">
        <w:rPr>
          <w:lang w:val="fr-FR"/>
        </w:rPr>
        <w:t>dont la filière contient l’expression régulière suivante : « %</w:t>
      </w:r>
      <w:proofErr w:type="spellStart"/>
      <w:r w:rsidR="000F2686">
        <w:rPr>
          <w:lang w:val="fr-FR"/>
        </w:rPr>
        <w:t>Scien</w:t>
      </w:r>
      <w:proofErr w:type="spellEnd"/>
      <w:r w:rsidR="000F2686">
        <w:rPr>
          <w:lang w:val="fr-FR"/>
        </w:rPr>
        <w:t>% ».</w:t>
      </w:r>
    </w:p>
    <w:p w14:paraId="6FBAF5F9" w14:textId="77777777" w:rsidR="00D65D62" w:rsidRPr="00D65D62" w:rsidRDefault="00D65D62" w:rsidP="000F2686">
      <w:pPr>
        <w:rPr>
          <w:sz w:val="18"/>
          <w:szCs w:val="18"/>
          <w:lang w:val="fr-FR"/>
        </w:rPr>
      </w:pPr>
      <w:r w:rsidRPr="00D65D62">
        <w:rPr>
          <w:sz w:val="18"/>
          <w:szCs w:val="18"/>
          <w:lang w:val="fr-FR"/>
        </w:rPr>
        <w:t xml:space="preserve">SELECT </w:t>
      </w:r>
      <w:proofErr w:type="gramStart"/>
      <w:r w:rsidRPr="00D65D62">
        <w:rPr>
          <w:sz w:val="18"/>
          <w:szCs w:val="18"/>
          <w:lang w:val="fr-FR"/>
        </w:rPr>
        <w:t>AVG(</w:t>
      </w:r>
      <w:proofErr w:type="gramEnd"/>
      <w:r w:rsidRPr="00D65D62">
        <w:rPr>
          <w:sz w:val="18"/>
          <w:szCs w:val="18"/>
          <w:lang w:val="fr-FR"/>
        </w:rPr>
        <w:t>(</w:t>
      </w:r>
      <w:proofErr w:type="spellStart"/>
      <w:r w:rsidRPr="00D65D62">
        <w:rPr>
          <w:sz w:val="18"/>
          <w:szCs w:val="18"/>
          <w:lang w:val="fr-FR"/>
        </w:rPr>
        <w:t>voeux_total_filles</w:t>
      </w:r>
      <w:proofErr w:type="spellEnd"/>
      <w:r w:rsidRPr="00D65D62">
        <w:rPr>
          <w:sz w:val="18"/>
          <w:szCs w:val="18"/>
          <w:lang w:val="fr-FR"/>
        </w:rPr>
        <w:t>/CAST(</w:t>
      </w:r>
      <w:proofErr w:type="spellStart"/>
      <w:r w:rsidRPr="00D65D62">
        <w:rPr>
          <w:sz w:val="18"/>
          <w:szCs w:val="18"/>
          <w:lang w:val="fr-FR"/>
        </w:rPr>
        <w:t>Total_voeux</w:t>
      </w:r>
      <w:proofErr w:type="spellEnd"/>
      <w:r w:rsidRPr="00D65D62">
        <w:rPr>
          <w:sz w:val="18"/>
          <w:szCs w:val="18"/>
          <w:lang w:val="fr-FR"/>
        </w:rPr>
        <w:t xml:space="preserve"> AS NUMERIC))*100) AS Moyenne FROM formation AS f INNER JOIN </w:t>
      </w:r>
      <w:proofErr w:type="spellStart"/>
      <w:r w:rsidRPr="00D65D62">
        <w:rPr>
          <w:sz w:val="18"/>
          <w:szCs w:val="18"/>
          <w:lang w:val="fr-FR"/>
        </w:rPr>
        <w:t>voeuxtotaux</w:t>
      </w:r>
      <w:proofErr w:type="spellEnd"/>
      <w:r w:rsidRPr="00D65D62">
        <w:rPr>
          <w:sz w:val="18"/>
          <w:szCs w:val="18"/>
          <w:lang w:val="fr-FR"/>
        </w:rPr>
        <w:t xml:space="preserve"> AS v ON </w:t>
      </w:r>
      <w:proofErr w:type="spellStart"/>
      <w:r w:rsidRPr="00D65D62">
        <w:rPr>
          <w:sz w:val="18"/>
          <w:szCs w:val="18"/>
          <w:lang w:val="fr-FR"/>
        </w:rPr>
        <w:t>f.code_formation</w:t>
      </w:r>
      <w:proofErr w:type="spellEnd"/>
      <w:r w:rsidRPr="00D65D62">
        <w:rPr>
          <w:sz w:val="18"/>
          <w:szCs w:val="18"/>
          <w:lang w:val="fr-FR"/>
        </w:rPr>
        <w:t xml:space="preserve"> = </w:t>
      </w:r>
      <w:proofErr w:type="spellStart"/>
      <w:r w:rsidRPr="00D65D62">
        <w:rPr>
          <w:sz w:val="18"/>
          <w:szCs w:val="18"/>
          <w:lang w:val="fr-FR"/>
        </w:rPr>
        <w:t>v.code_formation</w:t>
      </w:r>
      <w:proofErr w:type="spellEnd"/>
      <w:r w:rsidRPr="00D65D62">
        <w:rPr>
          <w:sz w:val="18"/>
          <w:szCs w:val="18"/>
          <w:lang w:val="fr-FR"/>
        </w:rPr>
        <w:t xml:space="preserve"> INNER JOIN </w:t>
      </w:r>
      <w:proofErr w:type="spellStart"/>
      <w:r w:rsidRPr="00D65D62">
        <w:rPr>
          <w:sz w:val="18"/>
          <w:szCs w:val="18"/>
          <w:lang w:val="fr-FR"/>
        </w:rPr>
        <w:t>etablissement</w:t>
      </w:r>
      <w:proofErr w:type="spellEnd"/>
      <w:r w:rsidRPr="00D65D62">
        <w:rPr>
          <w:sz w:val="18"/>
          <w:szCs w:val="18"/>
          <w:lang w:val="fr-FR"/>
        </w:rPr>
        <w:t xml:space="preserve"> AS e ON </w:t>
      </w:r>
      <w:proofErr w:type="spellStart"/>
      <w:r w:rsidRPr="00D65D62">
        <w:rPr>
          <w:sz w:val="18"/>
          <w:szCs w:val="18"/>
          <w:lang w:val="fr-FR"/>
        </w:rPr>
        <w:t>f.code_uai</w:t>
      </w:r>
      <w:proofErr w:type="spellEnd"/>
      <w:r w:rsidRPr="00D65D62">
        <w:rPr>
          <w:sz w:val="18"/>
          <w:szCs w:val="18"/>
          <w:lang w:val="fr-FR"/>
        </w:rPr>
        <w:t xml:space="preserve"> = </w:t>
      </w:r>
      <w:proofErr w:type="spellStart"/>
      <w:r w:rsidRPr="00D65D62">
        <w:rPr>
          <w:sz w:val="18"/>
          <w:szCs w:val="18"/>
          <w:lang w:val="fr-FR"/>
        </w:rPr>
        <w:t>e.code_uai</w:t>
      </w:r>
      <w:proofErr w:type="spellEnd"/>
      <w:r w:rsidRPr="00D65D62">
        <w:rPr>
          <w:sz w:val="18"/>
          <w:szCs w:val="18"/>
          <w:lang w:val="fr-FR"/>
        </w:rPr>
        <w:t xml:space="preserve"> INNER JOIN commune AS c ON </w:t>
      </w:r>
      <w:proofErr w:type="spellStart"/>
      <w:r w:rsidRPr="00D65D62">
        <w:rPr>
          <w:sz w:val="18"/>
          <w:szCs w:val="18"/>
          <w:lang w:val="fr-FR"/>
        </w:rPr>
        <w:t>e.cno</w:t>
      </w:r>
      <w:proofErr w:type="spellEnd"/>
      <w:r w:rsidRPr="00D65D62">
        <w:rPr>
          <w:sz w:val="18"/>
          <w:szCs w:val="18"/>
          <w:lang w:val="fr-FR"/>
        </w:rPr>
        <w:t xml:space="preserve"> = </w:t>
      </w:r>
      <w:proofErr w:type="spellStart"/>
      <w:r w:rsidRPr="00D65D62">
        <w:rPr>
          <w:sz w:val="18"/>
          <w:szCs w:val="18"/>
          <w:lang w:val="fr-FR"/>
        </w:rPr>
        <w:t>c.cno</w:t>
      </w:r>
      <w:proofErr w:type="spellEnd"/>
      <w:r w:rsidRPr="00D65D62">
        <w:rPr>
          <w:sz w:val="18"/>
          <w:szCs w:val="18"/>
          <w:lang w:val="fr-FR"/>
        </w:rPr>
        <w:t xml:space="preserve"> WHERE </w:t>
      </w:r>
      <w:proofErr w:type="spellStart"/>
      <w:r w:rsidRPr="00D65D62">
        <w:rPr>
          <w:sz w:val="18"/>
          <w:szCs w:val="18"/>
          <w:lang w:val="fr-FR"/>
        </w:rPr>
        <w:t>filiere</w:t>
      </w:r>
      <w:proofErr w:type="spellEnd"/>
      <w:r w:rsidRPr="00D65D62">
        <w:rPr>
          <w:sz w:val="18"/>
          <w:szCs w:val="18"/>
          <w:lang w:val="fr-FR"/>
        </w:rPr>
        <w:t xml:space="preserve"> LIKE '%</w:t>
      </w:r>
      <w:proofErr w:type="spellStart"/>
      <w:r w:rsidRPr="00D65D62">
        <w:rPr>
          <w:sz w:val="18"/>
          <w:szCs w:val="18"/>
          <w:lang w:val="fr-FR"/>
        </w:rPr>
        <w:t>Scien</w:t>
      </w:r>
      <w:proofErr w:type="spellEnd"/>
      <w:r w:rsidRPr="00D65D62">
        <w:rPr>
          <w:sz w:val="18"/>
          <w:szCs w:val="18"/>
          <w:lang w:val="fr-FR"/>
        </w:rPr>
        <w:t xml:space="preserve">%' AND </w:t>
      </w:r>
      <w:proofErr w:type="spellStart"/>
      <w:r w:rsidRPr="00D65D62">
        <w:rPr>
          <w:sz w:val="18"/>
          <w:szCs w:val="18"/>
          <w:lang w:val="fr-FR"/>
        </w:rPr>
        <w:t>code_departement</w:t>
      </w:r>
      <w:proofErr w:type="spellEnd"/>
      <w:r w:rsidRPr="00D65D62">
        <w:rPr>
          <w:sz w:val="18"/>
          <w:szCs w:val="18"/>
          <w:lang w:val="fr-FR"/>
        </w:rPr>
        <w:t xml:space="preserve"> IN (SELECT DISTINCT </w:t>
      </w:r>
      <w:proofErr w:type="spellStart"/>
      <w:r w:rsidRPr="00D65D62">
        <w:rPr>
          <w:sz w:val="18"/>
          <w:szCs w:val="18"/>
          <w:lang w:val="fr-FR"/>
        </w:rPr>
        <w:t>code_departement</w:t>
      </w:r>
      <w:proofErr w:type="spellEnd"/>
      <w:r w:rsidRPr="00D65D62">
        <w:rPr>
          <w:sz w:val="18"/>
          <w:szCs w:val="18"/>
          <w:lang w:val="fr-FR"/>
        </w:rPr>
        <w:t xml:space="preserve"> FROM </w:t>
      </w:r>
      <w:proofErr w:type="spellStart"/>
      <w:r w:rsidRPr="00D65D62">
        <w:rPr>
          <w:sz w:val="18"/>
          <w:szCs w:val="18"/>
          <w:lang w:val="fr-FR"/>
        </w:rPr>
        <w:t>departement</w:t>
      </w:r>
      <w:proofErr w:type="spellEnd"/>
      <w:r w:rsidRPr="00D65D62">
        <w:rPr>
          <w:sz w:val="18"/>
          <w:szCs w:val="18"/>
          <w:lang w:val="fr-FR"/>
        </w:rPr>
        <w:t xml:space="preserve"> WHERE </w:t>
      </w:r>
      <w:proofErr w:type="spellStart"/>
      <w:r w:rsidRPr="00D65D62">
        <w:rPr>
          <w:sz w:val="18"/>
          <w:szCs w:val="18"/>
          <w:lang w:val="fr-FR"/>
        </w:rPr>
        <w:t>rno</w:t>
      </w:r>
      <w:proofErr w:type="spellEnd"/>
      <w:r w:rsidRPr="00D65D62">
        <w:rPr>
          <w:sz w:val="18"/>
          <w:szCs w:val="18"/>
          <w:lang w:val="fr-FR"/>
        </w:rPr>
        <w:t xml:space="preserve"> = (SELECT </w:t>
      </w:r>
      <w:proofErr w:type="spellStart"/>
      <w:r w:rsidRPr="00D65D62">
        <w:rPr>
          <w:sz w:val="18"/>
          <w:szCs w:val="18"/>
          <w:lang w:val="fr-FR"/>
        </w:rPr>
        <w:t>rno</w:t>
      </w:r>
      <w:proofErr w:type="spellEnd"/>
      <w:r w:rsidRPr="00D65D62">
        <w:rPr>
          <w:sz w:val="18"/>
          <w:szCs w:val="18"/>
          <w:lang w:val="fr-FR"/>
        </w:rPr>
        <w:t xml:space="preserve"> FROM </w:t>
      </w:r>
      <w:proofErr w:type="spellStart"/>
      <w:r w:rsidRPr="00D65D62">
        <w:rPr>
          <w:sz w:val="18"/>
          <w:szCs w:val="18"/>
          <w:lang w:val="fr-FR"/>
        </w:rPr>
        <w:t>region</w:t>
      </w:r>
      <w:proofErr w:type="spellEnd"/>
      <w:r w:rsidRPr="00D65D62">
        <w:rPr>
          <w:sz w:val="18"/>
          <w:szCs w:val="18"/>
          <w:lang w:val="fr-FR"/>
        </w:rPr>
        <w:t xml:space="preserve"> WHERE </w:t>
      </w:r>
      <w:proofErr w:type="spellStart"/>
      <w:r w:rsidRPr="00D65D62">
        <w:rPr>
          <w:sz w:val="18"/>
          <w:szCs w:val="18"/>
          <w:lang w:val="fr-FR"/>
        </w:rPr>
        <w:t>nom_region</w:t>
      </w:r>
      <w:proofErr w:type="spellEnd"/>
      <w:r w:rsidRPr="00D65D62">
        <w:rPr>
          <w:sz w:val="18"/>
          <w:szCs w:val="18"/>
          <w:lang w:val="fr-FR"/>
        </w:rPr>
        <w:t xml:space="preserve"> = 'Occitanie'));</w:t>
      </w:r>
    </w:p>
    <w:p w14:paraId="1D93C2AE" w14:textId="77777777" w:rsidR="00D65D62" w:rsidRDefault="00D65D62" w:rsidP="000F2686"/>
    <w:p w14:paraId="69767065" w14:textId="310EBDCA" w:rsidR="000F2686" w:rsidRPr="000F2686" w:rsidRDefault="000F2686" w:rsidP="000F2686">
      <w:r w:rsidRPr="000F2686">
        <w:t xml:space="preserve">On obtient le résultat suivant : </w:t>
      </w:r>
    </w:p>
    <w:tbl>
      <w:tblPr>
        <w:tblStyle w:val="TableGrid"/>
        <w:tblW w:w="0" w:type="auto"/>
        <w:tblLook w:val="04A0" w:firstRow="1" w:lastRow="0" w:firstColumn="1" w:lastColumn="0" w:noHBand="0" w:noVBand="1"/>
      </w:tblPr>
      <w:tblGrid>
        <w:gridCol w:w="4508"/>
        <w:gridCol w:w="4508"/>
      </w:tblGrid>
      <w:tr w:rsidR="000F2686" w:rsidRPr="000F2686" w14:paraId="59C94FE2" w14:textId="77777777" w:rsidTr="000F2686">
        <w:tc>
          <w:tcPr>
            <w:tcW w:w="4508" w:type="dxa"/>
          </w:tcPr>
          <w:p w14:paraId="292981ED" w14:textId="77777777" w:rsidR="000F2686" w:rsidRPr="000F2686" w:rsidRDefault="000F2686" w:rsidP="0026438D">
            <w:pPr>
              <w:rPr>
                <w:sz w:val="22"/>
                <w:szCs w:val="22"/>
              </w:rPr>
            </w:pPr>
            <w:r w:rsidRPr="000F2686">
              <w:rPr>
                <w:sz w:val="22"/>
                <w:szCs w:val="22"/>
              </w:rPr>
              <w:t>Moyenne</w:t>
            </w:r>
          </w:p>
        </w:tc>
        <w:tc>
          <w:tcPr>
            <w:tcW w:w="4508" w:type="dxa"/>
          </w:tcPr>
          <w:p w14:paraId="386A1C38" w14:textId="0C5FC13D" w:rsidR="000F2686" w:rsidRPr="00D65D62" w:rsidRDefault="00D65D62" w:rsidP="00D65D62">
            <w:pPr>
              <w:rPr>
                <w:sz w:val="22"/>
                <w:szCs w:val="22"/>
              </w:rPr>
            </w:pPr>
            <w:r w:rsidRPr="00D65D62">
              <w:rPr>
                <w:sz w:val="22"/>
                <w:szCs w:val="22"/>
              </w:rPr>
              <w:t>58.13155229492573824603</w:t>
            </w:r>
          </w:p>
        </w:tc>
      </w:tr>
    </w:tbl>
    <w:p w14:paraId="17A1026F" w14:textId="77777777" w:rsidR="000F2686" w:rsidRDefault="000F2686" w:rsidP="000F2686"/>
    <w:p w14:paraId="6E4D7D1F" w14:textId="43DA5AA3" w:rsidR="000F2686" w:rsidRDefault="000F2686" w:rsidP="000F2686">
      <w:r>
        <w:t>On peut donc en conclure que cette assertion est fausse car il y a en moyenne 5</w:t>
      </w:r>
      <w:r w:rsidR="00D65D62">
        <w:t>8</w:t>
      </w:r>
      <w:r>
        <w:t>% de candidatures féminines dans les formations scientifiques</w:t>
      </w:r>
      <w:r w:rsidR="00D65D62">
        <w:t xml:space="preserve"> en Occitanie</w:t>
      </w:r>
      <w:r>
        <w:t>.</w:t>
      </w:r>
    </w:p>
    <w:p w14:paraId="4BF396FF" w14:textId="77777777" w:rsidR="000F2686" w:rsidRDefault="000F2686" w:rsidP="000F2686"/>
    <w:p w14:paraId="7657C9F8" w14:textId="77777777" w:rsidR="000F2686" w:rsidRDefault="000F2686" w:rsidP="000F2686"/>
    <w:p w14:paraId="1C756FAC" w14:textId="77777777" w:rsidR="000F2686" w:rsidRDefault="000F2686" w:rsidP="000F2686"/>
    <w:p w14:paraId="0F08B456" w14:textId="77777777" w:rsidR="000F2686" w:rsidRDefault="000F2686" w:rsidP="000F2686"/>
    <w:p w14:paraId="4998F22D" w14:textId="77777777" w:rsidR="000F2686" w:rsidRDefault="000F2686" w:rsidP="000F2686"/>
    <w:p w14:paraId="5D5F2350" w14:textId="77777777" w:rsidR="004354E7" w:rsidRPr="000F2686" w:rsidRDefault="004354E7" w:rsidP="000F2686"/>
    <w:p w14:paraId="76460828" w14:textId="607275C7" w:rsidR="00BD4DEF" w:rsidRPr="00100A82" w:rsidRDefault="00BD4DEF" w:rsidP="004354E7">
      <w:pPr>
        <w:pStyle w:val="ListParagraph"/>
        <w:pageBreakBefore/>
        <w:numPr>
          <w:ilvl w:val="0"/>
          <w:numId w:val="1"/>
        </w:numPr>
        <w:ind w:left="714" w:hanging="357"/>
        <w:jc w:val="both"/>
        <w:rPr>
          <w:rStyle w:val="IntenseEmphasis"/>
        </w:rPr>
      </w:pPr>
      <w:r w:rsidRPr="00100A82">
        <w:rPr>
          <w:rStyle w:val="IntenseEmphasis"/>
        </w:rPr>
        <w:lastRenderedPageBreak/>
        <w:t xml:space="preserve">Les bacs technologiques ont plus de chances que les bacs généraux d’être acceptés en filières sélectives : </w:t>
      </w:r>
    </w:p>
    <w:p w14:paraId="03D61824" w14:textId="77777777" w:rsidR="00BD4DEF" w:rsidRDefault="00BD4DEF" w:rsidP="00B767BF">
      <w:pPr>
        <w:pStyle w:val="ListParagraph"/>
        <w:jc w:val="both"/>
        <w:rPr>
          <w:lang w:val="fr-FR"/>
        </w:rPr>
      </w:pPr>
    </w:p>
    <w:p w14:paraId="271FAB37" w14:textId="5AA0C0CF" w:rsidR="00BD4DEF" w:rsidRPr="00D65D62" w:rsidRDefault="00BD4DEF" w:rsidP="007207BD">
      <w:pPr>
        <w:jc w:val="both"/>
        <w:rPr>
          <w:lang w:val="fr-FR"/>
        </w:rPr>
      </w:pPr>
      <w:r w:rsidRPr="00D65D62">
        <w:rPr>
          <w:lang w:val="fr-FR"/>
        </w:rPr>
        <w:t xml:space="preserve">Afin de pouvoir comparer le taux d’admission des bacs généraux et bacs technologiques, on divise le nombre de candidatures pour chaque bac par le nombre d’admis de ce même bac pour toutes les filières sélectives se situant en Occitanie. </w:t>
      </w:r>
    </w:p>
    <w:p w14:paraId="7D73E9F5" w14:textId="77777777" w:rsidR="007207BD" w:rsidRPr="00BD4DEF" w:rsidRDefault="007207BD" w:rsidP="007207BD">
      <w:pPr>
        <w:jc w:val="both"/>
        <w:rPr>
          <w:sz w:val="22"/>
          <w:szCs w:val="22"/>
          <w:lang w:val="fr-FR"/>
        </w:rPr>
      </w:pPr>
    </w:p>
    <w:p w14:paraId="3639D3D1" w14:textId="40948CFA" w:rsidR="007207BD" w:rsidRDefault="00BD4DEF" w:rsidP="007207BD">
      <w:pPr>
        <w:rPr>
          <w:sz w:val="18"/>
          <w:szCs w:val="18"/>
        </w:rPr>
      </w:pPr>
      <w:r w:rsidRPr="00BD4DEF">
        <w:rPr>
          <w:sz w:val="18"/>
          <w:szCs w:val="18"/>
        </w:rPr>
        <w:t>SELECT DISTINCT AVG((CAST(admis_bg AS NUMERIC)/(nb_bac_generaux_pp + nb_bac_generaux_pc))*100) AS Moyenne_Taux_Bac_generaux, AVG((CAST(admis_bt AS NUMERIC)/(nb_bac_techno_pp + nb_bac_techno_pc))*100) AS Moyenne_Taux_bac_techno FROM formation INNER JOIN etablissement ON formation.code_uai = etablissement.code_uai INNER JOIN commune ON etablissement.cno = commune.cno WHERE (nb_bac_generaux_pp + nb_bac_generaux_pc) != 0 AND (nb_bac_techno_pp + nb_bac_techno_pc) != 0 AND select_form = 'formation sélective' AND code_departement IN (SELECT DISTINCT code_departement FROM departement WHERE rno = (SELECT rno FROM region WHERE nom_region = 'Occitanie'));</w:t>
      </w:r>
    </w:p>
    <w:p w14:paraId="6AB40F4D" w14:textId="77777777" w:rsidR="007207BD" w:rsidRPr="007207BD" w:rsidRDefault="007207BD" w:rsidP="007207BD">
      <w:pPr>
        <w:rPr>
          <w:sz w:val="18"/>
          <w:szCs w:val="18"/>
        </w:rPr>
      </w:pPr>
    </w:p>
    <w:p w14:paraId="482552F5" w14:textId="5D44DF5D" w:rsidR="00BD4DEF" w:rsidRPr="00D65D62" w:rsidRDefault="00BD4DEF" w:rsidP="007207BD">
      <w:pPr>
        <w:jc w:val="both"/>
      </w:pPr>
      <w:r w:rsidRPr="00D65D62">
        <w:t xml:space="preserve">Grâce à cette requête, on obtient le résultat suivant : </w:t>
      </w:r>
    </w:p>
    <w:tbl>
      <w:tblPr>
        <w:tblStyle w:val="TableGrid"/>
        <w:tblW w:w="0" w:type="auto"/>
        <w:tblLook w:val="04A0" w:firstRow="1" w:lastRow="0" w:firstColumn="1" w:lastColumn="0" w:noHBand="0" w:noVBand="1"/>
      </w:tblPr>
      <w:tblGrid>
        <w:gridCol w:w="4508"/>
        <w:gridCol w:w="4508"/>
      </w:tblGrid>
      <w:tr w:rsidR="007207BD" w:rsidRPr="007207BD" w14:paraId="19527630" w14:textId="77777777" w:rsidTr="007207BD">
        <w:tc>
          <w:tcPr>
            <w:tcW w:w="4508" w:type="dxa"/>
          </w:tcPr>
          <w:p w14:paraId="1B56C1D4" w14:textId="64CDAA45" w:rsidR="007207BD" w:rsidRPr="000F2686" w:rsidRDefault="007207BD" w:rsidP="004E49AC">
            <w:pPr>
              <w:rPr>
                <w:sz w:val="22"/>
                <w:szCs w:val="22"/>
              </w:rPr>
            </w:pPr>
            <w:r w:rsidRPr="000F2686">
              <w:rPr>
                <w:sz w:val="22"/>
                <w:szCs w:val="22"/>
              </w:rPr>
              <w:t>moyenne_taux_bac_generaux</w:t>
            </w:r>
          </w:p>
        </w:tc>
        <w:tc>
          <w:tcPr>
            <w:tcW w:w="4508" w:type="dxa"/>
          </w:tcPr>
          <w:p w14:paraId="6A56A706" w14:textId="77D75B8B" w:rsidR="007207BD" w:rsidRPr="000F2686" w:rsidRDefault="007207BD" w:rsidP="004E49AC">
            <w:pPr>
              <w:rPr>
                <w:sz w:val="22"/>
                <w:szCs w:val="22"/>
              </w:rPr>
            </w:pPr>
            <w:r w:rsidRPr="000F2686">
              <w:rPr>
                <w:sz w:val="22"/>
                <w:szCs w:val="22"/>
              </w:rPr>
              <w:t>moyenne_taux_bac_techno</w:t>
            </w:r>
          </w:p>
        </w:tc>
      </w:tr>
      <w:tr w:rsidR="007207BD" w:rsidRPr="007207BD" w14:paraId="14EEE8EA" w14:textId="77777777" w:rsidTr="007207BD">
        <w:tc>
          <w:tcPr>
            <w:tcW w:w="4508" w:type="dxa"/>
          </w:tcPr>
          <w:p w14:paraId="0B8CBD39" w14:textId="7AB6FA51" w:rsidR="007207BD" w:rsidRPr="000F2686" w:rsidRDefault="007207BD" w:rsidP="004E49AC">
            <w:pPr>
              <w:rPr>
                <w:sz w:val="22"/>
                <w:szCs w:val="22"/>
              </w:rPr>
            </w:pPr>
            <w:r w:rsidRPr="000F2686">
              <w:rPr>
                <w:sz w:val="22"/>
                <w:szCs w:val="22"/>
              </w:rPr>
              <w:t>5.94851200112630241244</w:t>
            </w:r>
          </w:p>
        </w:tc>
        <w:tc>
          <w:tcPr>
            <w:tcW w:w="4508" w:type="dxa"/>
          </w:tcPr>
          <w:p w14:paraId="3143E682" w14:textId="30C3348C" w:rsidR="007207BD" w:rsidRPr="000F2686" w:rsidRDefault="007207BD" w:rsidP="004E49AC">
            <w:pPr>
              <w:rPr>
                <w:sz w:val="22"/>
                <w:szCs w:val="22"/>
              </w:rPr>
            </w:pPr>
            <w:r w:rsidRPr="000F2686">
              <w:rPr>
                <w:sz w:val="22"/>
                <w:szCs w:val="22"/>
              </w:rPr>
              <w:t>6.79487264554246591460</w:t>
            </w:r>
          </w:p>
        </w:tc>
      </w:tr>
    </w:tbl>
    <w:p w14:paraId="79D0085D" w14:textId="77777777" w:rsidR="007207BD" w:rsidRDefault="007207BD" w:rsidP="00B767BF">
      <w:pPr>
        <w:pStyle w:val="ListParagraph"/>
        <w:jc w:val="both"/>
        <w:rPr>
          <w:sz w:val="22"/>
          <w:szCs w:val="22"/>
          <w:lang w:val="fr-FR"/>
        </w:rPr>
      </w:pPr>
    </w:p>
    <w:p w14:paraId="7D036549" w14:textId="1D3F4400" w:rsidR="00BD4DEF" w:rsidRPr="00D65D62" w:rsidRDefault="00BD4DEF" w:rsidP="007207BD">
      <w:pPr>
        <w:jc w:val="both"/>
        <w:rPr>
          <w:lang w:val="fr-FR"/>
        </w:rPr>
      </w:pPr>
      <w:r w:rsidRPr="00D65D62">
        <w:rPr>
          <w:lang w:val="fr-FR"/>
        </w:rPr>
        <w:t xml:space="preserve">On peut donc conclure que cette assertion est vraie, car en moyenne, les bacs technologiques ont plus de chances d’être acceptés que les bacs généraux </w:t>
      </w:r>
      <w:r w:rsidR="00D65D62">
        <w:rPr>
          <w:lang w:val="fr-FR"/>
        </w:rPr>
        <w:t>dans les</w:t>
      </w:r>
      <w:r w:rsidRPr="00D65D62">
        <w:rPr>
          <w:lang w:val="fr-FR"/>
        </w:rPr>
        <w:t xml:space="preserve"> filières sélectives</w:t>
      </w:r>
      <w:r w:rsidR="00D65D62">
        <w:rPr>
          <w:lang w:val="fr-FR"/>
        </w:rPr>
        <w:t xml:space="preserve"> dispensées en Occitanie</w:t>
      </w:r>
      <w:r w:rsidRPr="00D65D62">
        <w:rPr>
          <w:lang w:val="fr-FR"/>
        </w:rPr>
        <w:t>.</w:t>
      </w:r>
    </w:p>
    <w:p w14:paraId="53B7CBCD" w14:textId="77777777" w:rsidR="00991E42" w:rsidRDefault="00991E42" w:rsidP="00B767BF">
      <w:pPr>
        <w:pStyle w:val="ListParagraph"/>
        <w:jc w:val="both"/>
        <w:rPr>
          <w:sz w:val="22"/>
          <w:szCs w:val="22"/>
          <w:lang w:val="fr-FR"/>
        </w:rPr>
      </w:pPr>
    </w:p>
    <w:p w14:paraId="47AE4AEB" w14:textId="77777777" w:rsidR="007207BD" w:rsidRDefault="007207BD" w:rsidP="00B767BF">
      <w:pPr>
        <w:pStyle w:val="ListParagraph"/>
        <w:jc w:val="both"/>
        <w:rPr>
          <w:sz w:val="22"/>
          <w:szCs w:val="22"/>
          <w:lang w:val="fr-FR"/>
        </w:rPr>
      </w:pPr>
    </w:p>
    <w:p w14:paraId="51958971" w14:textId="77777777" w:rsidR="00991E42" w:rsidRDefault="00991E42" w:rsidP="007207BD">
      <w:pPr>
        <w:jc w:val="both"/>
        <w:rPr>
          <w:rStyle w:val="IntenseEmphasis"/>
        </w:rPr>
      </w:pPr>
    </w:p>
    <w:p w14:paraId="4750AFBD" w14:textId="77777777" w:rsidR="000F2686" w:rsidRDefault="000F2686" w:rsidP="007207BD">
      <w:pPr>
        <w:jc w:val="both"/>
        <w:rPr>
          <w:rStyle w:val="IntenseEmphasis"/>
        </w:rPr>
      </w:pPr>
    </w:p>
    <w:p w14:paraId="392BC083" w14:textId="77777777" w:rsidR="000F2686" w:rsidRDefault="000F2686" w:rsidP="007207BD">
      <w:pPr>
        <w:jc w:val="both"/>
        <w:rPr>
          <w:rStyle w:val="IntenseEmphasis"/>
        </w:rPr>
      </w:pPr>
    </w:p>
    <w:p w14:paraId="396AEF71" w14:textId="77777777" w:rsidR="000F2686" w:rsidRDefault="000F2686" w:rsidP="007207BD">
      <w:pPr>
        <w:jc w:val="both"/>
        <w:rPr>
          <w:rStyle w:val="IntenseEmphasis"/>
        </w:rPr>
      </w:pPr>
    </w:p>
    <w:p w14:paraId="3947496E" w14:textId="77777777" w:rsidR="000F2686" w:rsidRDefault="000F2686" w:rsidP="007207BD">
      <w:pPr>
        <w:jc w:val="both"/>
        <w:rPr>
          <w:rStyle w:val="IntenseEmphasis"/>
        </w:rPr>
      </w:pPr>
    </w:p>
    <w:p w14:paraId="61DB6A4C" w14:textId="77777777" w:rsidR="000F2686" w:rsidRDefault="000F2686" w:rsidP="007207BD">
      <w:pPr>
        <w:jc w:val="both"/>
        <w:rPr>
          <w:rStyle w:val="IntenseEmphasis"/>
        </w:rPr>
      </w:pPr>
    </w:p>
    <w:p w14:paraId="7573E595" w14:textId="77777777" w:rsidR="000F2686" w:rsidRDefault="000F2686" w:rsidP="007207BD">
      <w:pPr>
        <w:jc w:val="both"/>
        <w:rPr>
          <w:rStyle w:val="IntenseEmphasis"/>
        </w:rPr>
      </w:pPr>
    </w:p>
    <w:p w14:paraId="584321F4" w14:textId="77777777" w:rsidR="000F2686" w:rsidRDefault="000F2686" w:rsidP="007207BD">
      <w:pPr>
        <w:jc w:val="both"/>
        <w:rPr>
          <w:rStyle w:val="IntenseEmphasis"/>
        </w:rPr>
      </w:pPr>
    </w:p>
    <w:p w14:paraId="63E343F3" w14:textId="77777777" w:rsidR="000F2686" w:rsidRPr="00100A82" w:rsidRDefault="000F2686" w:rsidP="007207BD">
      <w:pPr>
        <w:jc w:val="both"/>
        <w:rPr>
          <w:rStyle w:val="IntenseEmphasis"/>
        </w:rPr>
      </w:pPr>
    </w:p>
    <w:p w14:paraId="22D914E5" w14:textId="35C0F4D3" w:rsidR="00BD4DEF" w:rsidRPr="00100A82" w:rsidRDefault="00BD4DEF" w:rsidP="004354E7">
      <w:pPr>
        <w:pStyle w:val="ListParagraph"/>
        <w:pageBreakBefore/>
        <w:numPr>
          <w:ilvl w:val="0"/>
          <w:numId w:val="1"/>
        </w:numPr>
        <w:ind w:left="714" w:hanging="357"/>
        <w:jc w:val="both"/>
        <w:rPr>
          <w:rStyle w:val="IntenseEmphasis"/>
        </w:rPr>
      </w:pPr>
      <w:r w:rsidRPr="00100A82">
        <w:rPr>
          <w:rStyle w:val="IntenseEmphasis"/>
        </w:rPr>
        <w:lastRenderedPageBreak/>
        <w:t>Les boursiers préfèrent les études courtes (BTS, BUT) :</w:t>
      </w:r>
    </w:p>
    <w:p w14:paraId="1C1D4A13" w14:textId="3B385366" w:rsidR="008D23EA" w:rsidRPr="00D65D62" w:rsidRDefault="008D23EA" w:rsidP="00B767BF">
      <w:pPr>
        <w:jc w:val="both"/>
        <w:rPr>
          <w:lang w:val="fr-FR"/>
        </w:rPr>
      </w:pPr>
      <w:r w:rsidRPr="00D65D62">
        <w:rPr>
          <w:lang w:val="fr-FR"/>
        </w:rPr>
        <w:t xml:space="preserve">Pour calculer le taux de boursiers dans les études courtes (BTS et BUT), </w:t>
      </w:r>
      <w:r w:rsidR="005452DB" w:rsidRPr="00D65D62">
        <w:rPr>
          <w:lang w:val="fr-FR"/>
        </w:rPr>
        <w:t>on divise le nombre total de boursier admis dans chaque formation par le nombre total d’admis, on réalise ensuite une moyenne de tous les taux.</w:t>
      </w:r>
    </w:p>
    <w:p w14:paraId="33BD3EAB" w14:textId="77777777" w:rsidR="00FF547A" w:rsidRDefault="00FF547A" w:rsidP="00B767BF">
      <w:pPr>
        <w:jc w:val="both"/>
        <w:rPr>
          <w:sz w:val="22"/>
          <w:szCs w:val="22"/>
          <w:lang w:val="fr-FR"/>
        </w:rPr>
      </w:pPr>
    </w:p>
    <w:p w14:paraId="243E38FE" w14:textId="21BB912D" w:rsidR="005452DB" w:rsidRPr="00D65D62" w:rsidRDefault="005452DB" w:rsidP="00B767BF">
      <w:pPr>
        <w:jc w:val="both"/>
        <w:rPr>
          <w:lang w:val="fr-FR"/>
        </w:rPr>
      </w:pPr>
      <w:r w:rsidRPr="00D65D62">
        <w:rPr>
          <w:lang w:val="fr-FR"/>
        </w:rPr>
        <w:t>On réalise la même opération pour toutes les formations qui ne sont pas des BTS et BUT, afin d’obtenir le taux de boursiers dans les études longues puis on compare les deux moyennes.</w:t>
      </w:r>
    </w:p>
    <w:p w14:paraId="47D20213" w14:textId="3A616C11" w:rsidR="005452DB" w:rsidRPr="00D65D62" w:rsidRDefault="005452DB" w:rsidP="00B767BF">
      <w:pPr>
        <w:jc w:val="both"/>
        <w:rPr>
          <w:lang w:val="fr-FR"/>
        </w:rPr>
      </w:pPr>
      <w:r w:rsidRPr="00D65D62">
        <w:rPr>
          <w:lang w:val="fr-FR"/>
        </w:rPr>
        <w:t xml:space="preserve">Pour les études courtes : </w:t>
      </w:r>
    </w:p>
    <w:p w14:paraId="0C2FDD46" w14:textId="429CFA61" w:rsidR="005452DB" w:rsidRDefault="005452DB" w:rsidP="00B767BF">
      <w:pPr>
        <w:rPr>
          <w:sz w:val="18"/>
          <w:szCs w:val="18"/>
        </w:rPr>
      </w:pPr>
      <w:r w:rsidRPr="005452DB">
        <w:rPr>
          <w:sz w:val="18"/>
          <w:szCs w:val="18"/>
        </w:rPr>
        <w:t xml:space="preserve">SELECT AVG((CAST(total_boursiers AS NUMERIC)/(total_pp + total_pc))*100) AS Moyenne_taux_brs                                                                                                                                                                             </w:t>
      </w:r>
      <w:r w:rsidR="00F2530A">
        <w:rPr>
          <w:sz w:val="18"/>
          <w:szCs w:val="18"/>
        </w:rPr>
        <w:t xml:space="preserve">      </w:t>
      </w:r>
      <w:r w:rsidRPr="005452DB">
        <w:rPr>
          <w:sz w:val="18"/>
          <w:szCs w:val="18"/>
        </w:rPr>
        <w:t xml:space="preserve">FROM formation INNER JOIN etablissement                                                                                                                                                                                                                                               ON formation.code_uai = etablissement.code_uai                                                                                                                                                                                                                                        </w:t>
      </w:r>
      <w:r>
        <w:rPr>
          <w:sz w:val="18"/>
          <w:szCs w:val="18"/>
        </w:rPr>
        <w:t xml:space="preserve">    I</w:t>
      </w:r>
      <w:r w:rsidRPr="005452DB">
        <w:rPr>
          <w:sz w:val="18"/>
          <w:szCs w:val="18"/>
        </w:rPr>
        <w:t>NNER JOIN commune                                                                                                                                                                                                                                                                    ON etablissement.cno = commune.cno                                                                                                                                                                                                                                                    WHERE (total_pp + total_pc) != 0                                                                                                                                                                                                                                                          AND (libelle_formation LIKE '%BUT%' OR libelle_formation LIKE '%BTS%')                                                                                                                                                                                                                AND code_departement IN (SELECT DISTINCT code_departement FROM departement WHERE rno = (SELECT rno FROM region WHERE nom_region = 'Occitanie'));</w:t>
      </w:r>
    </w:p>
    <w:p w14:paraId="0D8521D7" w14:textId="07DEBEC9" w:rsidR="005452DB" w:rsidRPr="00D65D62" w:rsidRDefault="005452DB" w:rsidP="00B767BF">
      <w:r w:rsidRPr="00D65D62">
        <w:t xml:space="preserve">Pour les études longues : </w:t>
      </w:r>
    </w:p>
    <w:p w14:paraId="35E99E7C" w14:textId="4D37FA36" w:rsidR="005452DB" w:rsidRDefault="005452DB" w:rsidP="00B767BF">
      <w:pPr>
        <w:rPr>
          <w:sz w:val="18"/>
          <w:szCs w:val="18"/>
        </w:rPr>
      </w:pPr>
      <w:r w:rsidRPr="005452DB">
        <w:rPr>
          <w:sz w:val="18"/>
          <w:szCs w:val="18"/>
        </w:rPr>
        <w:t>SELECT AVG((CAST(total_boursiers AS NUMERIC)/(total_pp + total_pc))*100) AS Moyenne_taux_brs                                                                                                                                                                             FROM formation INNER JOIN etablissement                                                                                                                                                                                                                                               ON formation.code_uai = etablissement.code_uai                                                                                                                                                                                                                                        INNER JOIN commune                                                                                                                                                                                                                                                                    ON etablissement.cno = commune.cno                                                                                                                                                                                                                                                    WHERE (total_pp + total_pc) != 0                                                                                                                                                                                                                                                          AND (libelle_formation NOT LIKE '%BUT%' AND libelle_formation NOT LIKE '%BTS%')                                                                                                                                                                                                       AND code_departement IN (SELECT DISTINCT code_departement FROM departement WHERE rno = (SELECT rno FROM region WHERE nom_region = 'Occitanie'));</w:t>
      </w:r>
    </w:p>
    <w:p w14:paraId="002CF99E" w14:textId="77777777" w:rsidR="005452DB" w:rsidRPr="005452DB" w:rsidRDefault="005452DB" w:rsidP="00B767BF">
      <w:pPr>
        <w:jc w:val="both"/>
        <w:rPr>
          <w:sz w:val="22"/>
          <w:szCs w:val="22"/>
        </w:rPr>
      </w:pPr>
    </w:p>
    <w:p w14:paraId="7C9E7A7A" w14:textId="0C356842" w:rsidR="005452DB" w:rsidRPr="00D65D62" w:rsidRDefault="005452DB" w:rsidP="00B767BF">
      <w:pPr>
        <w:jc w:val="both"/>
      </w:pPr>
      <w:r w:rsidRPr="00D65D62">
        <w:t>On obtient une moyenne de 26,39% de boursiers dans les études courtes contre 16,01% pour les études longues.</w:t>
      </w:r>
    </w:p>
    <w:p w14:paraId="698D6A23" w14:textId="7D6B73D3" w:rsidR="005452DB" w:rsidRPr="00D65D62" w:rsidRDefault="005452DB" w:rsidP="00B767BF">
      <w:pPr>
        <w:jc w:val="both"/>
      </w:pPr>
      <w:r w:rsidRPr="00D65D62">
        <w:t>On peut donc conclure que cette assertion est vraie, car il y a en moyenne, un taux de boursiers supérieur dans les études courtes que longues.</w:t>
      </w:r>
    </w:p>
    <w:p w14:paraId="5105EB2C" w14:textId="72926A16" w:rsidR="00FF547A" w:rsidRDefault="00FF547A" w:rsidP="00B767BF">
      <w:pPr>
        <w:jc w:val="both"/>
        <w:rPr>
          <w:sz w:val="22"/>
          <w:szCs w:val="22"/>
        </w:rPr>
      </w:pPr>
    </w:p>
    <w:p w14:paraId="25F03746" w14:textId="08E7BC3A" w:rsidR="00FF547A" w:rsidRDefault="00FF547A" w:rsidP="00B767BF">
      <w:pPr>
        <w:pStyle w:val="Subtitle"/>
        <w:pageBreakBefore/>
        <w:jc w:val="both"/>
        <w:rPr>
          <w:u w:val="single"/>
        </w:rPr>
      </w:pPr>
      <w:r w:rsidRPr="00FF547A">
        <w:rPr>
          <w:u w:val="single"/>
        </w:rPr>
        <w:lastRenderedPageBreak/>
        <w:t>Partie II : Etude de 2 IUT</w:t>
      </w:r>
    </w:p>
    <w:p w14:paraId="2FBCA9E6" w14:textId="77777777" w:rsidR="00CC6BC8" w:rsidRDefault="00CC6BC8" w:rsidP="00B767BF">
      <w:pPr>
        <w:jc w:val="both"/>
      </w:pPr>
    </w:p>
    <w:p w14:paraId="3773DC7E" w14:textId="717BA6D8" w:rsidR="00CC6BC8" w:rsidRDefault="00CC6BC8" w:rsidP="00B767BF">
      <w:pPr>
        <w:jc w:val="both"/>
      </w:pPr>
      <w:r>
        <w:t>Tout d’abord, afin de faciliter les requêtes nous créons une vue contenant l’ensemble des établissement d’Occitanie avec la requête suivante :</w:t>
      </w:r>
    </w:p>
    <w:p w14:paraId="34DD86C8" w14:textId="10496A59" w:rsidR="00CC6BC8" w:rsidRDefault="00CC6BC8" w:rsidP="00CC6BC8">
      <w:pPr>
        <w:rPr>
          <w:sz w:val="18"/>
          <w:szCs w:val="18"/>
        </w:rPr>
      </w:pPr>
      <w:r w:rsidRPr="00CC6BC8">
        <w:rPr>
          <w:sz w:val="18"/>
          <w:szCs w:val="18"/>
        </w:rPr>
        <w:t>CREATE VIEW EtabOccitanie AS (SELECT code_uai, nom_etablissement, ctno, e.cno, c.code_departement FROM etablissement AS e INNER JOIN commune AS c ON e.cno = c.cno INNER JOIN departement AS d ON c.code_departement = d.code_departement WHERE rno = (SELECT rno FROM Region WHERE nom_region = 'Occitanie'));</w:t>
      </w:r>
    </w:p>
    <w:p w14:paraId="1C6ECF72" w14:textId="271219AC" w:rsidR="00CC6BC8" w:rsidRPr="00CC6BC8" w:rsidRDefault="00CC6BC8" w:rsidP="00CC6BC8">
      <w:r w:rsidRPr="00CC6BC8">
        <w:t>Puis on détermine les établissements présents dans cette vue proposant un BUT Informatique :</w:t>
      </w:r>
    </w:p>
    <w:p w14:paraId="6E9EDF08" w14:textId="0CF2D28C" w:rsidR="00CC6BC8" w:rsidRDefault="00CC6BC8" w:rsidP="00CC6BC8">
      <w:pPr>
        <w:rPr>
          <w:sz w:val="18"/>
          <w:szCs w:val="18"/>
        </w:rPr>
      </w:pPr>
      <w:r w:rsidRPr="00CC6BC8">
        <w:rPr>
          <w:sz w:val="18"/>
          <w:szCs w:val="18"/>
        </w:rPr>
        <w:t>SELECT code_formation, code_uai FROM formation WHERE libelle_formation LIKE '%BUT - Informatique%' AND code_uai IN (SELECT code_uai FROM etaboccitanie);</w:t>
      </w:r>
    </w:p>
    <w:p w14:paraId="029E12A6" w14:textId="408B930F" w:rsidR="005641FE" w:rsidRPr="005641FE" w:rsidRDefault="005641FE" w:rsidP="005641FE">
      <w:r w:rsidRPr="005641FE">
        <w:t xml:space="preserve">On obtient le résultat suivant : </w:t>
      </w:r>
    </w:p>
    <w:tbl>
      <w:tblPr>
        <w:tblStyle w:val="TableGrid"/>
        <w:tblW w:w="0" w:type="auto"/>
        <w:tblLook w:val="04A0" w:firstRow="1" w:lastRow="0" w:firstColumn="1" w:lastColumn="0" w:noHBand="0" w:noVBand="1"/>
      </w:tblPr>
      <w:tblGrid>
        <w:gridCol w:w="4508"/>
        <w:gridCol w:w="4508"/>
      </w:tblGrid>
      <w:tr w:rsidR="00CC6BC8" w:rsidRPr="00CC6BC8" w14:paraId="0F09B368" w14:textId="77777777" w:rsidTr="00CC6BC8">
        <w:tc>
          <w:tcPr>
            <w:tcW w:w="4508" w:type="dxa"/>
          </w:tcPr>
          <w:p w14:paraId="3C1FDC10" w14:textId="77777777" w:rsidR="00CC6BC8" w:rsidRPr="00CC6BC8" w:rsidRDefault="00CC6BC8" w:rsidP="00CC6BC8">
            <w:pPr>
              <w:rPr>
                <w:sz w:val="16"/>
                <w:szCs w:val="16"/>
              </w:rPr>
            </w:pPr>
            <w:proofErr w:type="spellStart"/>
            <w:proofErr w:type="gramStart"/>
            <w:r w:rsidRPr="00CC6BC8">
              <w:rPr>
                <w:sz w:val="16"/>
                <w:szCs w:val="16"/>
                <w:lang w:val="fr-FR"/>
              </w:rPr>
              <w:t>code</w:t>
            </w:r>
            <w:proofErr w:type="gramEnd"/>
            <w:r w:rsidRPr="00CC6BC8">
              <w:rPr>
                <w:sz w:val="16"/>
                <w:szCs w:val="16"/>
                <w:lang w:val="fr-FR"/>
              </w:rPr>
              <w:t>_formation</w:t>
            </w:r>
            <w:proofErr w:type="spellEnd"/>
            <w:r w:rsidRPr="00CC6BC8">
              <w:rPr>
                <w:sz w:val="16"/>
                <w:szCs w:val="16"/>
                <w:lang w:val="fr-FR"/>
              </w:rPr>
              <w:t xml:space="preserve"> </w:t>
            </w:r>
          </w:p>
        </w:tc>
        <w:tc>
          <w:tcPr>
            <w:tcW w:w="4508" w:type="dxa"/>
          </w:tcPr>
          <w:p w14:paraId="2D4A1B65" w14:textId="77777777" w:rsidR="00CC6BC8" w:rsidRPr="00CC6BC8" w:rsidRDefault="00CC6BC8" w:rsidP="00CC6BC8">
            <w:pPr>
              <w:rPr>
                <w:sz w:val="16"/>
                <w:szCs w:val="16"/>
              </w:rPr>
            </w:pPr>
            <w:r w:rsidRPr="00CC6BC8">
              <w:rPr>
                <w:sz w:val="16"/>
                <w:szCs w:val="16"/>
                <w:lang w:val="fr-FR"/>
              </w:rPr>
              <w:t xml:space="preserve"> </w:t>
            </w:r>
            <w:proofErr w:type="spellStart"/>
            <w:proofErr w:type="gramStart"/>
            <w:r w:rsidRPr="00CC6BC8">
              <w:rPr>
                <w:sz w:val="16"/>
                <w:szCs w:val="16"/>
                <w:lang w:val="fr-FR"/>
              </w:rPr>
              <w:t>code</w:t>
            </w:r>
            <w:proofErr w:type="gramEnd"/>
            <w:r w:rsidRPr="00CC6BC8">
              <w:rPr>
                <w:sz w:val="16"/>
                <w:szCs w:val="16"/>
                <w:lang w:val="fr-FR"/>
              </w:rPr>
              <w:t>_uai</w:t>
            </w:r>
            <w:proofErr w:type="spellEnd"/>
            <w:r w:rsidRPr="00CC6BC8">
              <w:rPr>
                <w:sz w:val="16"/>
                <w:szCs w:val="16"/>
                <w:lang w:val="fr-FR"/>
              </w:rPr>
              <w:t xml:space="preserve"> </w:t>
            </w:r>
          </w:p>
        </w:tc>
      </w:tr>
      <w:tr w:rsidR="00CC6BC8" w:rsidRPr="00CC6BC8" w14:paraId="2525B34D" w14:textId="77777777" w:rsidTr="00CC6BC8">
        <w:tc>
          <w:tcPr>
            <w:tcW w:w="4508" w:type="dxa"/>
          </w:tcPr>
          <w:p w14:paraId="76E862EA" w14:textId="77777777" w:rsidR="00CC6BC8" w:rsidRPr="00CC6BC8" w:rsidRDefault="00CC6BC8" w:rsidP="00CC6BC8">
            <w:pPr>
              <w:rPr>
                <w:sz w:val="16"/>
                <w:szCs w:val="16"/>
              </w:rPr>
            </w:pPr>
            <w:r w:rsidRPr="00CC6BC8">
              <w:rPr>
                <w:sz w:val="16"/>
                <w:szCs w:val="16"/>
                <w:lang w:val="fr-FR"/>
              </w:rPr>
              <w:t xml:space="preserve">           2495 </w:t>
            </w:r>
          </w:p>
        </w:tc>
        <w:tc>
          <w:tcPr>
            <w:tcW w:w="4508" w:type="dxa"/>
          </w:tcPr>
          <w:p w14:paraId="4C279255" w14:textId="77777777" w:rsidR="00CC6BC8" w:rsidRPr="00CC6BC8" w:rsidRDefault="00CC6BC8" w:rsidP="00CC6BC8">
            <w:pPr>
              <w:rPr>
                <w:sz w:val="16"/>
                <w:szCs w:val="16"/>
              </w:rPr>
            </w:pPr>
            <w:r w:rsidRPr="00CC6BC8">
              <w:rPr>
                <w:sz w:val="16"/>
                <w:szCs w:val="16"/>
                <w:lang w:val="fr-FR"/>
              </w:rPr>
              <w:t xml:space="preserve"> 0120870F</w:t>
            </w:r>
          </w:p>
        </w:tc>
      </w:tr>
      <w:tr w:rsidR="00CC6BC8" w:rsidRPr="00CC6BC8" w14:paraId="3F0ED17B" w14:textId="77777777" w:rsidTr="00CC6BC8">
        <w:tc>
          <w:tcPr>
            <w:tcW w:w="4508" w:type="dxa"/>
          </w:tcPr>
          <w:p w14:paraId="325C6472" w14:textId="77777777" w:rsidR="00CC6BC8" w:rsidRPr="00CC6BC8" w:rsidRDefault="00CC6BC8" w:rsidP="00CC6BC8">
            <w:pPr>
              <w:rPr>
                <w:sz w:val="16"/>
                <w:szCs w:val="16"/>
              </w:rPr>
            </w:pPr>
            <w:r w:rsidRPr="00CC6BC8">
              <w:rPr>
                <w:sz w:val="16"/>
                <w:szCs w:val="16"/>
                <w:lang w:val="fr-FR"/>
              </w:rPr>
              <w:t xml:space="preserve">          34946 </w:t>
            </w:r>
          </w:p>
        </w:tc>
        <w:tc>
          <w:tcPr>
            <w:tcW w:w="4508" w:type="dxa"/>
          </w:tcPr>
          <w:p w14:paraId="1D862A3B" w14:textId="77777777" w:rsidR="00CC6BC8" w:rsidRPr="00CC6BC8" w:rsidRDefault="00CC6BC8" w:rsidP="00CC6BC8">
            <w:pPr>
              <w:rPr>
                <w:sz w:val="16"/>
                <w:szCs w:val="16"/>
              </w:rPr>
            </w:pPr>
            <w:r w:rsidRPr="00CC6BC8">
              <w:rPr>
                <w:sz w:val="16"/>
                <w:szCs w:val="16"/>
                <w:lang w:val="fr-FR"/>
              </w:rPr>
              <w:t xml:space="preserve"> 0342503L</w:t>
            </w:r>
          </w:p>
        </w:tc>
      </w:tr>
      <w:tr w:rsidR="00CC6BC8" w:rsidRPr="00CC6BC8" w14:paraId="3AC76085" w14:textId="77777777" w:rsidTr="00CC6BC8">
        <w:tc>
          <w:tcPr>
            <w:tcW w:w="4508" w:type="dxa"/>
          </w:tcPr>
          <w:p w14:paraId="3687306E" w14:textId="77777777" w:rsidR="00CC6BC8" w:rsidRPr="00CC6BC8" w:rsidRDefault="00CC6BC8" w:rsidP="00CC6BC8">
            <w:pPr>
              <w:rPr>
                <w:sz w:val="16"/>
                <w:szCs w:val="16"/>
              </w:rPr>
            </w:pPr>
            <w:r w:rsidRPr="00CC6BC8">
              <w:rPr>
                <w:sz w:val="16"/>
                <w:szCs w:val="16"/>
                <w:lang w:val="fr-FR"/>
              </w:rPr>
              <w:t xml:space="preserve">           </w:t>
            </w:r>
            <w:r w:rsidRPr="00CC6BC8">
              <w:rPr>
                <w:sz w:val="16"/>
                <w:szCs w:val="16"/>
              </w:rPr>
              <w:t xml:space="preserve">4197 </w:t>
            </w:r>
          </w:p>
        </w:tc>
        <w:tc>
          <w:tcPr>
            <w:tcW w:w="4508" w:type="dxa"/>
          </w:tcPr>
          <w:p w14:paraId="7B59B024" w14:textId="77777777" w:rsidR="00CC6BC8" w:rsidRPr="00CC6BC8" w:rsidRDefault="00CC6BC8" w:rsidP="00CC6BC8">
            <w:pPr>
              <w:rPr>
                <w:sz w:val="16"/>
                <w:szCs w:val="16"/>
              </w:rPr>
            </w:pPr>
            <w:r w:rsidRPr="00CC6BC8">
              <w:rPr>
                <w:sz w:val="16"/>
                <w:szCs w:val="16"/>
              </w:rPr>
              <w:t xml:space="preserve"> 0311713U</w:t>
            </w:r>
          </w:p>
        </w:tc>
      </w:tr>
      <w:tr w:rsidR="00CC6BC8" w:rsidRPr="00CC6BC8" w14:paraId="3E078E50" w14:textId="77777777" w:rsidTr="00CC6BC8">
        <w:tc>
          <w:tcPr>
            <w:tcW w:w="4508" w:type="dxa"/>
          </w:tcPr>
          <w:p w14:paraId="0DCEA982" w14:textId="77777777" w:rsidR="00CC6BC8" w:rsidRPr="00CC6BC8" w:rsidRDefault="00CC6BC8" w:rsidP="00CC6BC8">
            <w:pPr>
              <w:rPr>
                <w:sz w:val="16"/>
                <w:szCs w:val="16"/>
              </w:rPr>
            </w:pPr>
            <w:r w:rsidRPr="00CC6BC8">
              <w:rPr>
                <w:sz w:val="16"/>
                <w:szCs w:val="16"/>
              </w:rPr>
              <w:t xml:space="preserve">           4524 </w:t>
            </w:r>
          </w:p>
        </w:tc>
        <w:tc>
          <w:tcPr>
            <w:tcW w:w="4508" w:type="dxa"/>
          </w:tcPr>
          <w:p w14:paraId="4C4995E0" w14:textId="77777777" w:rsidR="00CC6BC8" w:rsidRPr="00CC6BC8" w:rsidRDefault="00CC6BC8" w:rsidP="00CC6BC8">
            <w:pPr>
              <w:rPr>
                <w:sz w:val="16"/>
                <w:szCs w:val="16"/>
              </w:rPr>
            </w:pPr>
            <w:r w:rsidRPr="00CC6BC8">
              <w:rPr>
                <w:sz w:val="16"/>
                <w:szCs w:val="16"/>
              </w:rPr>
              <w:t xml:space="preserve"> 0340838B</w:t>
            </w:r>
          </w:p>
        </w:tc>
      </w:tr>
      <w:tr w:rsidR="00CC6BC8" w:rsidRPr="00CC6BC8" w14:paraId="738BB659" w14:textId="77777777" w:rsidTr="00CC6BC8">
        <w:tc>
          <w:tcPr>
            <w:tcW w:w="4508" w:type="dxa"/>
          </w:tcPr>
          <w:p w14:paraId="42EB6808" w14:textId="77777777" w:rsidR="00CC6BC8" w:rsidRPr="00CC6BC8" w:rsidRDefault="00CC6BC8" w:rsidP="00CC6BC8">
            <w:pPr>
              <w:rPr>
                <w:sz w:val="16"/>
                <w:szCs w:val="16"/>
              </w:rPr>
            </w:pPr>
            <w:r w:rsidRPr="00CC6BC8">
              <w:rPr>
                <w:sz w:val="16"/>
                <w:szCs w:val="16"/>
              </w:rPr>
              <w:t xml:space="preserve">           4098 </w:t>
            </w:r>
          </w:p>
        </w:tc>
        <w:tc>
          <w:tcPr>
            <w:tcW w:w="4508" w:type="dxa"/>
          </w:tcPr>
          <w:p w14:paraId="5C02D3FF" w14:textId="77777777" w:rsidR="00CC6BC8" w:rsidRPr="00CC6BC8" w:rsidRDefault="00CC6BC8" w:rsidP="00CC6BC8">
            <w:pPr>
              <w:rPr>
                <w:sz w:val="16"/>
                <w:szCs w:val="16"/>
              </w:rPr>
            </w:pPr>
            <w:r w:rsidRPr="00CC6BC8">
              <w:rPr>
                <w:sz w:val="16"/>
                <w:szCs w:val="16"/>
              </w:rPr>
              <w:t xml:space="preserve"> 0311086M</w:t>
            </w:r>
          </w:p>
        </w:tc>
      </w:tr>
    </w:tbl>
    <w:p w14:paraId="3A597F67" w14:textId="77777777" w:rsidR="00CC6BC8" w:rsidRDefault="00CC6BC8" w:rsidP="00CC6BC8">
      <w:pPr>
        <w:jc w:val="both"/>
      </w:pPr>
    </w:p>
    <w:p w14:paraId="1792B021" w14:textId="6502E008" w:rsidR="00CC6BC8" w:rsidRDefault="00CC6BC8" w:rsidP="00CC6BC8">
      <w:pPr>
        <w:jc w:val="both"/>
      </w:pPr>
      <w:r>
        <w:t>Pour cette partie, nous avons décidé de mener l’étude sur l’IUT de Rodez (</w:t>
      </w:r>
      <w:r w:rsidRPr="0095538E">
        <w:rPr>
          <w:lang w:val="fr-FR"/>
        </w:rPr>
        <w:t>0120870F</w:t>
      </w:r>
      <w:r w:rsidRPr="0095538E">
        <w:t>)</w:t>
      </w:r>
      <w:r>
        <w:t xml:space="preserve"> ainsi que l’IUT de Blagnac (</w:t>
      </w:r>
      <w:r w:rsidRPr="0095538E">
        <w:rPr>
          <w:lang w:val="fr-FR"/>
        </w:rPr>
        <w:t>0311713U</w:t>
      </w:r>
      <w:r w:rsidRPr="0095538E">
        <w:t>)</w:t>
      </w:r>
      <w:r>
        <w:t>.</w:t>
      </w:r>
    </w:p>
    <w:p w14:paraId="6AF01641" w14:textId="3FF3C6BB" w:rsidR="00CC6BC8" w:rsidRDefault="002607AB" w:rsidP="002607AB">
      <w:r w:rsidRPr="002607AB">
        <w:t>On selectionne les données qui nous intéresse et on les copie dans un fichier CSV afin de pouvoir les utiliser dans un tableur</w:t>
      </w:r>
      <w:r>
        <w:t xml:space="preserve"> avec la commande suivante : </w:t>
      </w:r>
    </w:p>
    <w:p w14:paraId="7278A4B2" w14:textId="19533541" w:rsidR="002607AB" w:rsidRDefault="002607AB" w:rsidP="002607AB">
      <w:pPr>
        <w:rPr>
          <w:sz w:val="18"/>
          <w:szCs w:val="18"/>
        </w:rPr>
      </w:pPr>
      <w:r w:rsidRPr="002607AB">
        <w:rPr>
          <w:sz w:val="18"/>
          <w:szCs w:val="18"/>
        </w:rPr>
        <w:t>\copy (SELECT e.nom_etablissement, voeux_total_filles AS Candidatures_filles, (admis_ab + admis_b + admis_tb) AS Admis_Mention, (total_pp + total_pc) AS Total_admis, admis_bg AS Bac_generaux_admis, admis_bt AS Bac_techno_admis, admis_bp AS Bac_pro_admis, admis_autres AS Admis_autres FROM formation AS f INNER JOIN etablissement AS e ON f.code_uai = e.code_uai INNER JOIN VoeuxTotaux AS v ON f.code_formation = v.code_formation WHERE e.code_uai IN ('0120870F','0311713U') AND f.code_formation IN ('2495', '4197')) to 'test.csv' with (format CSV, delimiter ';', HEADER);</w:t>
      </w:r>
    </w:p>
    <w:p w14:paraId="1D591640" w14:textId="77777777" w:rsidR="005641FE" w:rsidRPr="002607AB" w:rsidRDefault="005641FE" w:rsidP="002607AB">
      <w:pPr>
        <w:rPr>
          <w:sz w:val="18"/>
          <w:szCs w:val="18"/>
        </w:rPr>
      </w:pPr>
    </w:p>
    <w:p w14:paraId="2B097780" w14:textId="5F59ADE4" w:rsidR="002607AB" w:rsidRPr="002607AB" w:rsidRDefault="00C93519" w:rsidP="00B767BF">
      <w:pPr>
        <w:jc w:val="both"/>
        <w:rPr>
          <w:rStyle w:val="IntenseEmphasis"/>
          <w:i w:val="0"/>
          <w:iCs w:val="0"/>
          <w:color w:val="auto"/>
        </w:rPr>
      </w:pPr>
      <w:r>
        <w:t>Voici le tableau des données de chaque IUT, utilisées pour les statistiques ci-dessous.</w:t>
      </w:r>
    </w:p>
    <w:tbl>
      <w:tblPr>
        <w:tblW w:w="10057" w:type="dxa"/>
        <w:tblInd w:w="-521" w:type="dxa"/>
        <w:tblLayout w:type="fixed"/>
        <w:tblCellMar>
          <w:left w:w="0" w:type="dxa"/>
          <w:right w:w="0" w:type="dxa"/>
        </w:tblCellMar>
        <w:tblLook w:val="04A0" w:firstRow="1" w:lastRow="0" w:firstColumn="1" w:lastColumn="0" w:noHBand="0" w:noVBand="1"/>
      </w:tblPr>
      <w:tblGrid>
        <w:gridCol w:w="1693"/>
        <w:gridCol w:w="1134"/>
        <w:gridCol w:w="993"/>
        <w:gridCol w:w="1275"/>
        <w:gridCol w:w="993"/>
        <w:gridCol w:w="1134"/>
        <w:gridCol w:w="992"/>
        <w:gridCol w:w="709"/>
        <w:gridCol w:w="1134"/>
      </w:tblGrid>
      <w:tr w:rsidR="00D65D62" w:rsidRPr="002607AB" w14:paraId="7D417654" w14:textId="0AD6B80D" w:rsidTr="00D65D62">
        <w:trPr>
          <w:trHeight w:val="165"/>
        </w:trPr>
        <w:tc>
          <w:tcPr>
            <w:tcW w:w="169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F16968" w14:textId="34E56E08" w:rsidR="00D65D62" w:rsidRPr="002607AB" w:rsidRDefault="00D65D62" w:rsidP="00D65D62">
            <w:pPr>
              <w:rPr>
                <w:sz w:val="16"/>
                <w:szCs w:val="16"/>
                <w:lang w:eastAsia="en-GB"/>
              </w:rPr>
            </w:pPr>
            <w:r>
              <w:rPr>
                <w:rFonts w:ascii="Helvetica Neue" w:hAnsi="Helvetica Neue"/>
                <w:b/>
                <w:bCs/>
                <w:color w:val="000000"/>
                <w:sz w:val="15"/>
                <w:szCs w:val="15"/>
              </w:rPr>
              <w:t>nom_etablissement</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8657021" w14:textId="7DBEF516" w:rsidR="00D65D62" w:rsidRPr="002607AB" w:rsidRDefault="00D65D62" w:rsidP="00D65D62">
            <w:pPr>
              <w:rPr>
                <w:sz w:val="16"/>
                <w:szCs w:val="16"/>
                <w:lang w:eastAsia="en-GB"/>
              </w:rPr>
            </w:pPr>
            <w:r>
              <w:rPr>
                <w:rFonts w:ascii="Helvetica Neue" w:hAnsi="Helvetica Neue"/>
                <w:b/>
                <w:bCs/>
                <w:color w:val="000000"/>
                <w:sz w:val="15"/>
                <w:szCs w:val="15"/>
              </w:rPr>
              <w:t>candidatures_filles</w:t>
            </w:r>
          </w:p>
        </w:tc>
        <w:tc>
          <w:tcPr>
            <w:tcW w:w="99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8B886B" w14:textId="5B84AF6E" w:rsidR="00D65D62" w:rsidRPr="002607AB" w:rsidRDefault="00D65D62" w:rsidP="00D65D62">
            <w:pPr>
              <w:rPr>
                <w:sz w:val="16"/>
                <w:szCs w:val="16"/>
                <w:lang w:eastAsia="en-GB"/>
              </w:rPr>
            </w:pPr>
            <w:r>
              <w:rPr>
                <w:rFonts w:ascii="Helvetica Neue" w:hAnsi="Helvetica Neue"/>
                <w:b/>
                <w:bCs/>
                <w:color w:val="000000"/>
                <w:sz w:val="15"/>
                <w:szCs w:val="15"/>
              </w:rPr>
              <w:t>total_voeux</w:t>
            </w:r>
          </w:p>
        </w:tc>
        <w:tc>
          <w:tcPr>
            <w:tcW w:w="12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FD2FF7" w14:textId="3380D33D" w:rsidR="00D65D62" w:rsidRPr="002607AB" w:rsidRDefault="00D65D62" w:rsidP="00D65D62">
            <w:pPr>
              <w:rPr>
                <w:sz w:val="16"/>
                <w:szCs w:val="16"/>
                <w:lang w:eastAsia="en-GB"/>
              </w:rPr>
            </w:pPr>
            <w:r>
              <w:rPr>
                <w:rFonts w:ascii="Helvetica Neue" w:hAnsi="Helvetica Neue"/>
                <w:b/>
                <w:bCs/>
                <w:color w:val="000000"/>
                <w:sz w:val="15"/>
                <w:szCs w:val="15"/>
              </w:rPr>
              <w:t>admis_mention</w:t>
            </w:r>
          </w:p>
        </w:tc>
        <w:tc>
          <w:tcPr>
            <w:tcW w:w="99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925C7F5" w14:textId="2AB9D011" w:rsidR="00D65D62" w:rsidRPr="002607AB" w:rsidRDefault="00D65D62" w:rsidP="00D65D62">
            <w:pPr>
              <w:rPr>
                <w:sz w:val="16"/>
                <w:szCs w:val="16"/>
                <w:lang w:eastAsia="en-GB"/>
              </w:rPr>
            </w:pPr>
            <w:r>
              <w:rPr>
                <w:rFonts w:ascii="Helvetica Neue" w:hAnsi="Helvetica Neue"/>
                <w:b/>
                <w:bCs/>
                <w:color w:val="000000"/>
                <w:sz w:val="15"/>
                <w:szCs w:val="15"/>
              </w:rPr>
              <w:t>total_admis</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974E8CE" w14:textId="217D5D4D" w:rsidR="00D65D62" w:rsidRPr="002607AB" w:rsidRDefault="00D65D62" w:rsidP="00D65D62">
            <w:pPr>
              <w:rPr>
                <w:sz w:val="16"/>
                <w:szCs w:val="16"/>
                <w:lang w:eastAsia="en-GB"/>
              </w:rPr>
            </w:pPr>
            <w:r>
              <w:rPr>
                <w:rFonts w:ascii="Helvetica Neue" w:hAnsi="Helvetica Neue"/>
                <w:b/>
                <w:bCs/>
                <w:color w:val="000000"/>
                <w:sz w:val="15"/>
                <w:szCs w:val="15"/>
              </w:rPr>
              <w:t>bac_generaux_admis</w:t>
            </w:r>
          </w:p>
        </w:tc>
        <w:tc>
          <w:tcPr>
            <w:tcW w:w="9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141FC5" w14:textId="4C5B4A0C" w:rsidR="00D65D62" w:rsidRPr="002607AB" w:rsidRDefault="00D65D62" w:rsidP="00D65D62">
            <w:pPr>
              <w:rPr>
                <w:sz w:val="16"/>
                <w:szCs w:val="16"/>
                <w:lang w:eastAsia="en-GB"/>
              </w:rPr>
            </w:pPr>
            <w:r>
              <w:rPr>
                <w:rFonts w:ascii="Helvetica Neue" w:hAnsi="Helvetica Neue"/>
                <w:b/>
                <w:bCs/>
                <w:color w:val="000000"/>
                <w:sz w:val="15"/>
                <w:szCs w:val="15"/>
              </w:rPr>
              <w:t>bac_techno_admis</w:t>
            </w:r>
          </w:p>
        </w:tc>
        <w:tc>
          <w:tcPr>
            <w:tcW w:w="70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13A8DA" w14:textId="2B14E14E" w:rsidR="00D65D62" w:rsidRPr="002607AB" w:rsidRDefault="00D65D62" w:rsidP="00D65D62">
            <w:pPr>
              <w:rPr>
                <w:sz w:val="16"/>
                <w:szCs w:val="16"/>
                <w:lang w:eastAsia="en-GB"/>
              </w:rPr>
            </w:pPr>
            <w:r>
              <w:rPr>
                <w:rFonts w:ascii="Helvetica Neue" w:hAnsi="Helvetica Neue"/>
                <w:b/>
                <w:bCs/>
                <w:color w:val="000000"/>
                <w:sz w:val="15"/>
                <w:szCs w:val="15"/>
              </w:rPr>
              <w:t>bac_pro_admis</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Pr>
          <w:p w14:paraId="6A5F7A99" w14:textId="470D22FF" w:rsidR="00D65D62" w:rsidRDefault="00D65D62" w:rsidP="00D65D62">
            <w:pPr>
              <w:rPr>
                <w:rFonts w:ascii="Helvetica Neue" w:hAnsi="Helvetica Neue"/>
                <w:b/>
                <w:bCs/>
                <w:color w:val="000000"/>
                <w:sz w:val="15"/>
                <w:szCs w:val="15"/>
              </w:rPr>
            </w:pPr>
            <w:r>
              <w:rPr>
                <w:rFonts w:ascii="Helvetica Neue" w:hAnsi="Helvetica Neue"/>
                <w:b/>
                <w:bCs/>
                <w:color w:val="000000"/>
                <w:sz w:val="15"/>
                <w:szCs w:val="15"/>
              </w:rPr>
              <w:t>Admis_autres</w:t>
            </w:r>
          </w:p>
        </w:tc>
      </w:tr>
      <w:tr w:rsidR="00D65D62" w:rsidRPr="002607AB" w14:paraId="62327CB4" w14:textId="6BEF4268" w:rsidTr="00D65D62">
        <w:trPr>
          <w:trHeight w:hRule="exact" w:val="567"/>
        </w:trPr>
        <w:tc>
          <w:tcPr>
            <w:tcW w:w="169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656B20" w14:textId="317D37BB" w:rsidR="00D65D62" w:rsidRPr="002607AB" w:rsidRDefault="00D65D62" w:rsidP="00D65D62">
            <w:pPr>
              <w:rPr>
                <w:sz w:val="16"/>
                <w:szCs w:val="16"/>
                <w:lang w:eastAsia="en-GB"/>
              </w:rPr>
            </w:pPr>
            <w:r>
              <w:rPr>
                <w:rFonts w:ascii="Helvetica Neue" w:hAnsi="Helvetica Neue"/>
                <w:b/>
                <w:bCs/>
                <w:color w:val="000000"/>
                <w:sz w:val="15"/>
                <w:szCs w:val="15"/>
              </w:rPr>
              <w:t xml:space="preserve">I.U.T de Rodez </w:t>
            </w:r>
            <w:r>
              <w:rPr>
                <w:rStyle w:val="apple-converted-space"/>
                <w:rFonts w:ascii="Helvetica Neue" w:hAnsi="Helvetica Neue"/>
                <w:b/>
                <w:bCs/>
                <w:color w:val="000000"/>
                <w:sz w:val="15"/>
                <w:szCs w:val="15"/>
              </w:rPr>
              <w:t>                                                                                                                       </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B9924" w14:textId="5F173A77" w:rsidR="00D65D62" w:rsidRPr="002607AB" w:rsidRDefault="00D65D62" w:rsidP="00D65D62">
            <w:pPr>
              <w:rPr>
                <w:sz w:val="16"/>
                <w:szCs w:val="16"/>
                <w:lang w:eastAsia="en-GB"/>
              </w:rPr>
            </w:pPr>
            <w:r>
              <w:rPr>
                <w:rFonts w:ascii="Helvetica Neue" w:hAnsi="Helvetica Neue"/>
                <w:color w:val="000000"/>
                <w:sz w:val="15"/>
                <w:szCs w:val="15"/>
              </w:rPr>
              <w:t>106</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EF735" w14:textId="184EE070" w:rsidR="00D65D62" w:rsidRPr="002607AB" w:rsidRDefault="00D65D62" w:rsidP="00D65D62">
            <w:pPr>
              <w:rPr>
                <w:sz w:val="16"/>
                <w:szCs w:val="16"/>
                <w:lang w:eastAsia="en-GB"/>
              </w:rPr>
            </w:pPr>
            <w:r>
              <w:rPr>
                <w:rFonts w:ascii="Helvetica Neue" w:hAnsi="Helvetica Neue"/>
                <w:color w:val="000000"/>
                <w:sz w:val="15"/>
                <w:szCs w:val="15"/>
              </w:rPr>
              <w:t>1010</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E9321" w14:textId="4878F22B" w:rsidR="00D65D62" w:rsidRPr="002607AB" w:rsidRDefault="00D65D62" w:rsidP="00D65D62">
            <w:pPr>
              <w:rPr>
                <w:sz w:val="16"/>
                <w:szCs w:val="16"/>
                <w:lang w:eastAsia="en-GB"/>
              </w:rPr>
            </w:pPr>
            <w:r>
              <w:rPr>
                <w:rFonts w:ascii="Helvetica Neue" w:hAnsi="Helvetica Neue"/>
                <w:color w:val="000000"/>
                <w:sz w:val="15"/>
                <w:szCs w:val="15"/>
              </w:rPr>
              <w:t>33</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F41E3" w14:textId="0E5B7C1C" w:rsidR="00D65D62" w:rsidRPr="002607AB" w:rsidRDefault="00D65D62" w:rsidP="00D65D62">
            <w:pPr>
              <w:rPr>
                <w:sz w:val="16"/>
                <w:szCs w:val="16"/>
                <w:lang w:eastAsia="en-GB"/>
              </w:rPr>
            </w:pPr>
            <w:r>
              <w:rPr>
                <w:rFonts w:ascii="Helvetica Neue" w:hAnsi="Helvetica Neue"/>
                <w:color w:val="000000"/>
                <w:sz w:val="15"/>
                <w:szCs w:val="15"/>
              </w:rPr>
              <w:t>46</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F86B1" w14:textId="49649F6C" w:rsidR="00D65D62" w:rsidRPr="002607AB" w:rsidRDefault="00D65D62" w:rsidP="00D65D62">
            <w:pPr>
              <w:rPr>
                <w:sz w:val="16"/>
                <w:szCs w:val="16"/>
                <w:lang w:eastAsia="en-GB"/>
              </w:rPr>
            </w:pPr>
            <w:r>
              <w:rPr>
                <w:rFonts w:ascii="Helvetica Neue" w:hAnsi="Helvetica Neue"/>
                <w:color w:val="000000"/>
                <w:sz w:val="15"/>
                <w:szCs w:val="15"/>
              </w:rPr>
              <w:t>32</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F1D6D" w14:textId="4D0E1551" w:rsidR="00D65D62" w:rsidRPr="002607AB" w:rsidRDefault="00D65D62" w:rsidP="00D65D62">
            <w:pPr>
              <w:rPr>
                <w:sz w:val="16"/>
                <w:szCs w:val="16"/>
                <w:lang w:eastAsia="en-GB"/>
              </w:rPr>
            </w:pPr>
            <w:r>
              <w:rPr>
                <w:rFonts w:ascii="Helvetica Neue" w:hAnsi="Helvetica Neue"/>
                <w:color w:val="000000"/>
                <w:sz w:val="15"/>
                <w:szCs w:val="15"/>
              </w:rPr>
              <w:t>11</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8B271" w14:textId="3AA158DB" w:rsidR="00D65D62" w:rsidRPr="002607AB" w:rsidRDefault="00D65D62" w:rsidP="00D65D62">
            <w:pPr>
              <w:rPr>
                <w:sz w:val="16"/>
                <w:szCs w:val="16"/>
                <w:lang w:eastAsia="en-GB"/>
              </w:rPr>
            </w:pPr>
            <w:r>
              <w:rPr>
                <w:rFonts w:ascii="Helvetica Neue" w:hAnsi="Helvetica Neue"/>
                <w:color w:val="000000"/>
                <w:sz w:val="15"/>
                <w:szCs w:val="15"/>
              </w:rPr>
              <w:t>0</w:t>
            </w:r>
          </w:p>
        </w:tc>
        <w:tc>
          <w:tcPr>
            <w:tcW w:w="1134" w:type="dxa"/>
            <w:tcBorders>
              <w:top w:val="single" w:sz="6" w:space="0" w:color="000000"/>
              <w:left w:val="single" w:sz="6" w:space="0" w:color="000000"/>
              <w:bottom w:val="single" w:sz="6" w:space="0" w:color="000000"/>
              <w:right w:val="single" w:sz="6" w:space="0" w:color="000000"/>
            </w:tcBorders>
          </w:tcPr>
          <w:p w14:paraId="54D36F2A" w14:textId="2B010EF8" w:rsidR="00D65D62" w:rsidRDefault="00D65D62" w:rsidP="00D65D62">
            <w:pPr>
              <w:rPr>
                <w:rFonts w:ascii="Helvetica Neue" w:hAnsi="Helvetica Neue"/>
                <w:color w:val="000000"/>
                <w:sz w:val="15"/>
                <w:szCs w:val="15"/>
              </w:rPr>
            </w:pPr>
            <w:r>
              <w:rPr>
                <w:rFonts w:ascii="Helvetica Neue" w:hAnsi="Helvetica Neue"/>
                <w:color w:val="000000"/>
                <w:sz w:val="15"/>
                <w:szCs w:val="15"/>
              </w:rPr>
              <w:t>3</w:t>
            </w:r>
          </w:p>
        </w:tc>
      </w:tr>
      <w:tr w:rsidR="00D65D62" w:rsidRPr="002607AB" w14:paraId="4D3D7048" w14:textId="4E5C80F0" w:rsidTr="00D65D62">
        <w:trPr>
          <w:trHeight w:hRule="exact" w:val="567"/>
        </w:trPr>
        <w:tc>
          <w:tcPr>
            <w:tcW w:w="169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E6F58F" w14:textId="114B0B43" w:rsidR="00D65D62" w:rsidRPr="002607AB" w:rsidRDefault="00D65D62" w:rsidP="00D65D62">
            <w:pPr>
              <w:rPr>
                <w:sz w:val="16"/>
                <w:szCs w:val="16"/>
                <w:lang w:eastAsia="en-GB"/>
              </w:rPr>
            </w:pPr>
            <w:r>
              <w:rPr>
                <w:rFonts w:ascii="Helvetica Neue" w:hAnsi="Helvetica Neue"/>
                <w:b/>
                <w:bCs/>
                <w:color w:val="000000"/>
                <w:sz w:val="15"/>
                <w:szCs w:val="15"/>
              </w:rPr>
              <w:t xml:space="preserve">I.U.T de Blagnac </w:t>
            </w:r>
            <w:r>
              <w:rPr>
                <w:rStyle w:val="apple-converted-space"/>
                <w:rFonts w:ascii="Helvetica Neue" w:hAnsi="Helvetica Neue"/>
                <w:b/>
                <w:bCs/>
                <w:color w:val="000000"/>
                <w:sz w:val="15"/>
                <w:szCs w:val="15"/>
              </w:rPr>
              <w:t>                                                                                                                     </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74591" w14:textId="0613C6BC" w:rsidR="00D65D62" w:rsidRPr="002607AB" w:rsidRDefault="00D65D62" w:rsidP="00D65D62">
            <w:pPr>
              <w:rPr>
                <w:sz w:val="16"/>
                <w:szCs w:val="16"/>
                <w:lang w:eastAsia="en-GB"/>
              </w:rPr>
            </w:pPr>
            <w:r>
              <w:rPr>
                <w:rFonts w:ascii="Helvetica Neue" w:hAnsi="Helvetica Neue"/>
                <w:color w:val="000000"/>
                <w:sz w:val="15"/>
                <w:szCs w:val="15"/>
              </w:rPr>
              <w:t>256</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E4A49E" w14:textId="231133C2" w:rsidR="00D65D62" w:rsidRPr="002607AB" w:rsidRDefault="00D65D62" w:rsidP="00D65D62">
            <w:pPr>
              <w:rPr>
                <w:sz w:val="16"/>
                <w:szCs w:val="16"/>
                <w:lang w:eastAsia="en-GB"/>
              </w:rPr>
            </w:pPr>
            <w:r>
              <w:rPr>
                <w:rFonts w:ascii="Helvetica Neue" w:hAnsi="Helvetica Neue"/>
                <w:color w:val="000000"/>
                <w:sz w:val="15"/>
                <w:szCs w:val="15"/>
              </w:rPr>
              <w:t>2404</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C0C2E" w14:textId="785BD4ED" w:rsidR="00D65D62" w:rsidRPr="002607AB" w:rsidRDefault="00D65D62" w:rsidP="00D65D62">
            <w:pPr>
              <w:rPr>
                <w:sz w:val="16"/>
                <w:szCs w:val="16"/>
                <w:lang w:eastAsia="en-GB"/>
              </w:rPr>
            </w:pPr>
            <w:r>
              <w:rPr>
                <w:rFonts w:ascii="Helvetica Neue" w:hAnsi="Helvetica Neue"/>
                <w:color w:val="000000"/>
                <w:sz w:val="15"/>
                <w:szCs w:val="15"/>
              </w:rPr>
              <w:t>78</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BFED3" w14:textId="24B49D54" w:rsidR="00D65D62" w:rsidRPr="002607AB" w:rsidRDefault="00D65D62" w:rsidP="00D65D62">
            <w:pPr>
              <w:rPr>
                <w:sz w:val="16"/>
                <w:szCs w:val="16"/>
                <w:lang w:eastAsia="en-GB"/>
              </w:rPr>
            </w:pPr>
            <w:r>
              <w:rPr>
                <w:rFonts w:ascii="Helvetica Neue" w:hAnsi="Helvetica Neue"/>
                <w:color w:val="000000"/>
                <w:sz w:val="15"/>
                <w:szCs w:val="15"/>
              </w:rPr>
              <w:t>99</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BD4BF" w14:textId="037A4EB9" w:rsidR="00D65D62" w:rsidRPr="002607AB" w:rsidRDefault="00D65D62" w:rsidP="00D65D62">
            <w:pPr>
              <w:rPr>
                <w:sz w:val="16"/>
                <w:szCs w:val="16"/>
                <w:lang w:eastAsia="en-GB"/>
              </w:rPr>
            </w:pPr>
            <w:r>
              <w:rPr>
                <w:rFonts w:ascii="Helvetica Neue" w:hAnsi="Helvetica Neue"/>
                <w:color w:val="000000"/>
                <w:sz w:val="15"/>
                <w:szCs w:val="15"/>
              </w:rPr>
              <w:t>45</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D7309" w14:textId="2FD21863" w:rsidR="00D65D62" w:rsidRPr="002607AB" w:rsidRDefault="00D65D62" w:rsidP="00D65D62">
            <w:pPr>
              <w:rPr>
                <w:sz w:val="16"/>
                <w:szCs w:val="16"/>
                <w:lang w:eastAsia="en-GB"/>
              </w:rPr>
            </w:pPr>
            <w:r>
              <w:rPr>
                <w:rFonts w:ascii="Helvetica Neue" w:hAnsi="Helvetica Neue"/>
                <w:color w:val="000000"/>
                <w:sz w:val="15"/>
                <w:szCs w:val="15"/>
              </w:rPr>
              <w:t>45</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2FD55" w14:textId="1F3A6303" w:rsidR="00D65D62" w:rsidRPr="002607AB" w:rsidRDefault="00D65D62" w:rsidP="00D65D62">
            <w:pPr>
              <w:rPr>
                <w:sz w:val="16"/>
                <w:szCs w:val="16"/>
                <w:lang w:eastAsia="en-GB"/>
              </w:rPr>
            </w:pPr>
            <w:r>
              <w:rPr>
                <w:rFonts w:ascii="Helvetica Neue" w:hAnsi="Helvetica Neue"/>
                <w:color w:val="000000"/>
                <w:sz w:val="15"/>
                <w:szCs w:val="15"/>
              </w:rPr>
              <w:t>0</w:t>
            </w:r>
          </w:p>
        </w:tc>
        <w:tc>
          <w:tcPr>
            <w:tcW w:w="1134" w:type="dxa"/>
            <w:tcBorders>
              <w:top w:val="single" w:sz="6" w:space="0" w:color="000000"/>
              <w:left w:val="single" w:sz="6" w:space="0" w:color="000000"/>
              <w:bottom w:val="single" w:sz="6" w:space="0" w:color="000000"/>
              <w:right w:val="single" w:sz="6" w:space="0" w:color="000000"/>
            </w:tcBorders>
          </w:tcPr>
          <w:p w14:paraId="4DCB597E" w14:textId="62A81031" w:rsidR="00D65D62" w:rsidRDefault="00D65D62" w:rsidP="00D65D62">
            <w:pPr>
              <w:rPr>
                <w:rFonts w:ascii="Helvetica Neue" w:hAnsi="Helvetica Neue"/>
                <w:color w:val="000000"/>
                <w:sz w:val="15"/>
                <w:szCs w:val="15"/>
              </w:rPr>
            </w:pPr>
            <w:r>
              <w:rPr>
                <w:rFonts w:ascii="Helvetica Neue" w:hAnsi="Helvetica Neue"/>
                <w:color w:val="000000"/>
                <w:sz w:val="15"/>
                <w:szCs w:val="15"/>
              </w:rPr>
              <w:t>9</w:t>
            </w:r>
          </w:p>
        </w:tc>
      </w:tr>
    </w:tbl>
    <w:p w14:paraId="4FB5B108" w14:textId="77777777" w:rsidR="002607AB" w:rsidRDefault="002607AB" w:rsidP="00B767BF">
      <w:pPr>
        <w:jc w:val="both"/>
        <w:rPr>
          <w:rStyle w:val="IntenseEmphasis"/>
        </w:rPr>
      </w:pPr>
    </w:p>
    <w:p w14:paraId="425F6CFF" w14:textId="75B10595" w:rsidR="008F735C" w:rsidRPr="00100A82" w:rsidRDefault="008F735C" w:rsidP="00B767BF">
      <w:pPr>
        <w:pageBreakBefore/>
        <w:jc w:val="both"/>
        <w:rPr>
          <w:rStyle w:val="IntenseEmphasis"/>
        </w:rPr>
      </w:pPr>
      <w:r w:rsidRPr="00100A82">
        <w:rPr>
          <w:rStyle w:val="IntenseEmphasis"/>
        </w:rPr>
        <w:lastRenderedPageBreak/>
        <w:t>Taux de filles qui ont candidaté :</w:t>
      </w:r>
    </w:p>
    <w:p w14:paraId="3143369F" w14:textId="77777777" w:rsidR="00002066" w:rsidRDefault="00002066" w:rsidP="00B767BF">
      <w:pPr>
        <w:jc w:val="both"/>
      </w:pPr>
    </w:p>
    <w:p w14:paraId="7F52DE38" w14:textId="4C3891EE" w:rsidR="008F735C" w:rsidRDefault="008F735C" w:rsidP="00B767BF">
      <w:pPr>
        <w:jc w:val="both"/>
      </w:pPr>
      <w:r>
        <w:t>Pour obtenir le taux de filles ayant candidaté, on divise le nombre de candidatures féminines par le nombre de candidature totale</w:t>
      </w:r>
    </w:p>
    <w:p w14:paraId="136932F8" w14:textId="250ACBF0" w:rsidR="00100A82" w:rsidRDefault="00100A82" w:rsidP="00B767BF">
      <w:pPr>
        <w:jc w:val="both"/>
        <w:rPr>
          <w:rFonts w:eastAsiaTheme="minorEastAsia"/>
        </w:rPr>
      </w:pPr>
      <w:r>
        <w:t xml:space="preserve">Pour l’IUT de Rodez on a : </w:t>
      </w:r>
      <m:oMath>
        <m:f>
          <m:fPr>
            <m:ctrlPr>
              <w:rPr>
                <w:rFonts w:ascii="Cambria Math" w:hAnsi="Cambria Math"/>
                <w:i/>
              </w:rPr>
            </m:ctrlPr>
          </m:fPr>
          <m:num>
            <m:r>
              <w:rPr>
                <w:rFonts w:ascii="Cambria Math" w:hAnsi="Cambria Math"/>
              </w:rPr>
              <m:t>106</m:t>
            </m:r>
          </m:num>
          <m:den>
            <m:r>
              <w:rPr>
                <w:rFonts w:ascii="Cambria Math" w:hAnsi="Cambria Math"/>
              </w:rPr>
              <m:t>1010</m:t>
            </m:r>
          </m:den>
        </m:f>
        <m:r>
          <w:rPr>
            <w:rFonts w:ascii="Cambria Math" w:hAnsi="Cambria Math"/>
          </w:rPr>
          <m:t>×100≅10,495</m:t>
        </m:r>
      </m:oMath>
    </w:p>
    <w:p w14:paraId="33FDC5FB" w14:textId="23018565" w:rsidR="006A1F78" w:rsidRDefault="00100A82" w:rsidP="00B767BF">
      <w:pPr>
        <w:jc w:val="both"/>
        <w:rPr>
          <w:rFonts w:eastAsiaTheme="minorEastAsia"/>
        </w:rPr>
      </w:pPr>
      <w:r>
        <w:rPr>
          <w:rFonts w:eastAsiaTheme="minorEastAsia"/>
        </w:rPr>
        <w:t xml:space="preserve">Pour l’IUT de Blagnac : </w:t>
      </w:r>
      <m:oMath>
        <m:f>
          <m:fPr>
            <m:ctrlPr>
              <w:rPr>
                <w:rFonts w:ascii="Cambria Math" w:hAnsi="Cambria Math"/>
                <w:i/>
              </w:rPr>
            </m:ctrlPr>
          </m:fPr>
          <m:num>
            <m:r>
              <w:rPr>
                <w:rFonts w:ascii="Cambria Math" w:hAnsi="Cambria Math"/>
              </w:rPr>
              <m:t>256</m:t>
            </m:r>
          </m:num>
          <m:den>
            <m:r>
              <w:rPr>
                <w:rFonts w:ascii="Cambria Math" w:hAnsi="Cambria Math"/>
              </w:rPr>
              <m:t>2404</m:t>
            </m:r>
          </m:den>
        </m:f>
        <m:r>
          <w:rPr>
            <w:rFonts w:ascii="Cambria Math" w:hAnsi="Cambria Math"/>
          </w:rPr>
          <m:t>×100≅10,6</m:t>
        </m:r>
        <m:r>
          <w:rPr>
            <w:rFonts w:ascii="Cambria Math" w:hAnsi="Cambria Math"/>
          </w:rPr>
          <m:t>49</m:t>
        </m:r>
      </m:oMath>
    </w:p>
    <w:p w14:paraId="4DF26853" w14:textId="7C129EA0" w:rsidR="006A1F78" w:rsidRDefault="006A1F78" w:rsidP="00B767BF">
      <w:pPr>
        <w:jc w:val="both"/>
        <w:rPr>
          <w:rFonts w:eastAsiaTheme="minorEastAsia"/>
        </w:rPr>
      </w:pPr>
    </w:p>
    <w:p w14:paraId="6481FF32" w14:textId="72B5308C" w:rsidR="00100A82" w:rsidRDefault="00100A82" w:rsidP="00B767BF">
      <w:pPr>
        <w:jc w:val="both"/>
        <w:rPr>
          <w:rFonts w:eastAsiaTheme="minorEastAsia"/>
        </w:rPr>
      </w:pPr>
      <w:r>
        <w:rPr>
          <w:rFonts w:eastAsiaTheme="minorEastAsia"/>
        </w:rPr>
        <w:t xml:space="preserve">On obtient le graphique suivant : </w:t>
      </w:r>
    </w:p>
    <w:p w14:paraId="57CCFB55" w14:textId="77777777" w:rsidR="00D50AA2" w:rsidRDefault="00D50AA2" w:rsidP="00B767BF">
      <w:pPr>
        <w:jc w:val="both"/>
        <w:rPr>
          <w:rFonts w:eastAsiaTheme="minorEastAsia"/>
        </w:rPr>
      </w:pPr>
    </w:p>
    <w:p w14:paraId="0B4AE8CA" w14:textId="5BF3298F" w:rsidR="00C93519" w:rsidRDefault="00D50AA2" w:rsidP="00B767BF">
      <w:pPr>
        <w:jc w:val="both"/>
      </w:pPr>
      <w:r w:rsidRPr="00D50AA2">
        <w:drawing>
          <wp:inline distT="0" distB="0" distL="0" distR="0" wp14:anchorId="1A8E44D8" wp14:editId="324C6791">
            <wp:extent cx="5029200" cy="4356513"/>
            <wp:effectExtent l="0" t="0" r="0" b="0"/>
            <wp:docPr id="17453496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49602" name="Picture 1" descr="A screenshot of a graph&#10;&#10;Description automatically generated"/>
                    <pic:cNvPicPr/>
                  </pic:nvPicPr>
                  <pic:blipFill rotWithShape="1">
                    <a:blip r:embed="rId8"/>
                    <a:srcRect l="22954"/>
                    <a:stretch/>
                  </pic:blipFill>
                  <pic:spPr bwMode="auto">
                    <a:xfrm>
                      <a:off x="0" y="0"/>
                      <a:ext cx="5059470" cy="4382734"/>
                    </a:xfrm>
                    <a:prstGeom prst="rect">
                      <a:avLst/>
                    </a:prstGeom>
                    <a:ln>
                      <a:noFill/>
                    </a:ln>
                    <a:extLst>
                      <a:ext uri="{53640926-AAD7-44D8-BBD7-CCE9431645EC}">
                        <a14:shadowObscured xmlns:a14="http://schemas.microsoft.com/office/drawing/2010/main"/>
                      </a:ext>
                    </a:extLst>
                  </pic:spPr>
                </pic:pic>
              </a:graphicData>
            </a:graphic>
          </wp:inline>
        </w:drawing>
      </w:r>
    </w:p>
    <w:p w14:paraId="78B7ECDC" w14:textId="0C97D77A" w:rsidR="0095538E" w:rsidRDefault="0095538E" w:rsidP="00B767BF">
      <w:pPr>
        <w:jc w:val="both"/>
        <w:rPr>
          <w:lang w:val="fr-FR"/>
        </w:rPr>
      </w:pPr>
    </w:p>
    <w:p w14:paraId="4163D4C5" w14:textId="49797B35" w:rsidR="006A1F78" w:rsidRDefault="00C93519" w:rsidP="00B767BF">
      <w:pPr>
        <w:jc w:val="both"/>
        <w:rPr>
          <w:lang w:val="fr-FR"/>
        </w:rPr>
      </w:pPr>
      <w:r>
        <w:rPr>
          <w:lang w:val="fr-FR"/>
        </w:rPr>
        <w:t>Les deux IUT ont un taux de candidature féminine très proche, malgré une</w:t>
      </w:r>
      <w:r w:rsidR="00D50AA2">
        <w:rPr>
          <w:lang w:val="fr-FR"/>
        </w:rPr>
        <w:t xml:space="preserve"> </w:t>
      </w:r>
      <w:r>
        <w:rPr>
          <w:lang w:val="fr-FR"/>
        </w:rPr>
        <w:t>grande différence du nombre total de candidatures reçues.</w:t>
      </w:r>
    </w:p>
    <w:p w14:paraId="5DC6C440" w14:textId="77777777" w:rsidR="00C93519" w:rsidRDefault="00C93519" w:rsidP="00B767BF">
      <w:pPr>
        <w:jc w:val="both"/>
        <w:rPr>
          <w:lang w:val="fr-FR"/>
        </w:rPr>
      </w:pPr>
    </w:p>
    <w:p w14:paraId="37C5EE90" w14:textId="77777777" w:rsidR="00C93519" w:rsidRDefault="00C93519" w:rsidP="00B767BF">
      <w:pPr>
        <w:jc w:val="both"/>
        <w:rPr>
          <w:rStyle w:val="IntenseEmphasis"/>
        </w:rPr>
      </w:pPr>
    </w:p>
    <w:p w14:paraId="088C1E76" w14:textId="593A9729" w:rsidR="006A1F78" w:rsidRDefault="006A1F78" w:rsidP="00B767BF">
      <w:pPr>
        <w:pageBreakBefore/>
        <w:jc w:val="both"/>
        <w:rPr>
          <w:rStyle w:val="IntenseEmphasis"/>
        </w:rPr>
      </w:pPr>
      <w:r w:rsidRPr="006A1F78">
        <w:rPr>
          <w:rStyle w:val="IntenseEmphasis"/>
        </w:rPr>
        <w:lastRenderedPageBreak/>
        <w:t>Taux d’admis avec mention :</w:t>
      </w:r>
    </w:p>
    <w:p w14:paraId="11A74B17" w14:textId="77777777" w:rsidR="00C93519" w:rsidRDefault="00C93519" w:rsidP="00B767BF">
      <w:pPr>
        <w:jc w:val="both"/>
        <w:rPr>
          <w:rStyle w:val="IntenseEmphasis"/>
        </w:rPr>
      </w:pPr>
    </w:p>
    <w:p w14:paraId="35D51D3A" w14:textId="5D55C5CB" w:rsidR="006A1F78" w:rsidRPr="006A1F78" w:rsidRDefault="006A1F78" w:rsidP="00B767BF">
      <w:pPr>
        <w:jc w:val="both"/>
      </w:pPr>
      <w:r w:rsidRPr="006A1F78">
        <w:t>Pour obtenir le taux d’admission des bachelier avec mention, on divise le nombre d’admis ayant obtenu une mention par le nombre total d’admis.</w:t>
      </w:r>
    </w:p>
    <w:p w14:paraId="492A1278" w14:textId="20C7B223" w:rsidR="006A1F78" w:rsidRDefault="006A1F78" w:rsidP="00B767BF">
      <w:pPr>
        <w:jc w:val="both"/>
        <w:rPr>
          <w:rFonts w:eastAsiaTheme="minorEastAsia"/>
        </w:rPr>
      </w:pPr>
      <w:r>
        <w:t xml:space="preserve">Pour l’IUT de Rodez on a : </w:t>
      </w:r>
      <m:oMath>
        <m:f>
          <m:fPr>
            <m:ctrlPr>
              <w:rPr>
                <w:rFonts w:ascii="Cambria Math" w:hAnsi="Cambria Math"/>
                <w:i/>
              </w:rPr>
            </m:ctrlPr>
          </m:fPr>
          <m:num>
            <m:r>
              <w:rPr>
                <w:rFonts w:ascii="Cambria Math" w:hAnsi="Cambria Math"/>
              </w:rPr>
              <m:t>33</m:t>
            </m:r>
          </m:num>
          <m:den>
            <m:r>
              <w:rPr>
                <w:rFonts w:ascii="Cambria Math" w:hAnsi="Cambria Math"/>
              </w:rPr>
              <m:t>46</m:t>
            </m:r>
          </m:den>
        </m:f>
        <m:r>
          <w:rPr>
            <w:rFonts w:ascii="Cambria Math" w:hAnsi="Cambria Math"/>
          </w:rPr>
          <m:t>×100≅71,74</m:t>
        </m:r>
      </m:oMath>
    </w:p>
    <w:p w14:paraId="6E1373D0" w14:textId="4E438EE3" w:rsidR="006A1F78" w:rsidRDefault="006A1F78" w:rsidP="00B767BF">
      <w:pPr>
        <w:jc w:val="both"/>
        <w:rPr>
          <w:rFonts w:eastAsiaTheme="minorEastAsia"/>
        </w:rPr>
      </w:pPr>
      <w:r>
        <w:rPr>
          <w:rFonts w:eastAsiaTheme="minorEastAsia"/>
        </w:rPr>
        <w:t xml:space="preserve">Pour l’IUT de Blagnac : </w:t>
      </w:r>
      <m:oMath>
        <m:f>
          <m:fPr>
            <m:ctrlPr>
              <w:rPr>
                <w:rFonts w:ascii="Cambria Math" w:hAnsi="Cambria Math"/>
                <w:i/>
              </w:rPr>
            </m:ctrlPr>
          </m:fPr>
          <m:num>
            <m:r>
              <w:rPr>
                <w:rFonts w:ascii="Cambria Math" w:hAnsi="Cambria Math"/>
              </w:rPr>
              <m:t>78</m:t>
            </m:r>
          </m:num>
          <m:den>
            <m:r>
              <w:rPr>
                <w:rFonts w:ascii="Cambria Math" w:hAnsi="Cambria Math"/>
              </w:rPr>
              <m:t>99</m:t>
            </m:r>
          </m:den>
        </m:f>
        <m:r>
          <w:rPr>
            <w:rFonts w:ascii="Cambria Math" w:hAnsi="Cambria Math"/>
          </w:rPr>
          <m:t>×100≅78,79</m:t>
        </m:r>
      </m:oMath>
    </w:p>
    <w:p w14:paraId="0E9D202B" w14:textId="512CB834" w:rsidR="006A1F78" w:rsidRDefault="006A1F78" w:rsidP="00B767BF">
      <w:pPr>
        <w:jc w:val="both"/>
        <w:rPr>
          <w:rFonts w:eastAsiaTheme="minorEastAsia"/>
        </w:rPr>
      </w:pPr>
    </w:p>
    <w:p w14:paraId="1EE48178" w14:textId="532D5E36" w:rsidR="006A1F78" w:rsidRDefault="0076446E" w:rsidP="00B767BF">
      <w:pPr>
        <w:jc w:val="both"/>
        <w:rPr>
          <w:rFonts w:eastAsiaTheme="minorEastAsia"/>
        </w:rPr>
      </w:pPr>
      <w:r w:rsidRPr="006A1F78">
        <w:rPr>
          <w:noProof/>
          <w:sz w:val="22"/>
          <w:szCs w:val="22"/>
        </w:rPr>
        <w:drawing>
          <wp:anchor distT="0" distB="0" distL="114300" distR="114300" simplePos="0" relativeHeight="251659264" behindDoc="1" locked="0" layoutInCell="1" allowOverlap="1" wp14:anchorId="6776E01B" wp14:editId="765E552D">
            <wp:simplePos x="0" y="0"/>
            <wp:positionH relativeFrom="column">
              <wp:posOffset>130349</wp:posOffset>
            </wp:positionH>
            <wp:positionV relativeFrom="paragraph">
              <wp:posOffset>315012</wp:posOffset>
            </wp:positionV>
            <wp:extent cx="5355772" cy="3911225"/>
            <wp:effectExtent l="0" t="0" r="3810" b="635"/>
            <wp:wrapNone/>
            <wp:docPr id="18403757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75730" name="Picture 1" descr="A screenshot of a graph&#10;&#10;Description automatically generated"/>
                    <pic:cNvPicPr/>
                  </pic:nvPicPr>
                  <pic:blipFill rotWithShape="1">
                    <a:blip r:embed="rId9">
                      <a:extLst>
                        <a:ext uri="{28A0092B-C50C-407E-A947-70E740481C1C}">
                          <a14:useLocalDpi xmlns:a14="http://schemas.microsoft.com/office/drawing/2010/main" val="0"/>
                        </a:ext>
                      </a:extLst>
                    </a:blip>
                    <a:srcRect l="20837"/>
                    <a:stretch/>
                  </pic:blipFill>
                  <pic:spPr bwMode="auto">
                    <a:xfrm>
                      <a:off x="0" y="0"/>
                      <a:ext cx="5355772" cy="3911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FA9525" w14:textId="12D17C84" w:rsidR="006A1F78" w:rsidRDefault="006A1F78" w:rsidP="00B767BF">
      <w:pPr>
        <w:jc w:val="both"/>
        <w:rPr>
          <w:rFonts w:eastAsiaTheme="minorEastAsia"/>
        </w:rPr>
      </w:pPr>
    </w:p>
    <w:p w14:paraId="1776C67F" w14:textId="3704EE0E" w:rsidR="006A1F78" w:rsidRDefault="006A1F78" w:rsidP="00B767BF">
      <w:pPr>
        <w:jc w:val="both"/>
        <w:rPr>
          <w:rStyle w:val="IntenseEmphasis"/>
          <w:lang w:val="fr-FR"/>
        </w:rPr>
      </w:pPr>
    </w:p>
    <w:p w14:paraId="574EDBF2" w14:textId="06962DBE" w:rsidR="006A1F78" w:rsidRDefault="006A1F78" w:rsidP="00B767BF">
      <w:pPr>
        <w:jc w:val="both"/>
        <w:rPr>
          <w:rStyle w:val="IntenseEmphasis"/>
          <w:lang w:val="fr-FR"/>
        </w:rPr>
      </w:pPr>
    </w:p>
    <w:p w14:paraId="6F194318" w14:textId="77777777" w:rsidR="006A1F78" w:rsidRDefault="006A1F78" w:rsidP="00B767BF">
      <w:pPr>
        <w:jc w:val="both"/>
        <w:rPr>
          <w:rStyle w:val="IntenseEmphasis"/>
          <w:lang w:val="fr-FR"/>
        </w:rPr>
      </w:pPr>
    </w:p>
    <w:p w14:paraId="437BD4D8" w14:textId="4BAAB50B" w:rsidR="006A1F78" w:rsidRDefault="006A1F78" w:rsidP="00B767BF">
      <w:pPr>
        <w:jc w:val="both"/>
        <w:rPr>
          <w:rStyle w:val="IntenseEmphasis"/>
          <w:lang w:val="fr-FR"/>
        </w:rPr>
      </w:pPr>
    </w:p>
    <w:p w14:paraId="4703384F" w14:textId="77777777" w:rsidR="006A1F78" w:rsidRDefault="006A1F78" w:rsidP="00B767BF">
      <w:pPr>
        <w:jc w:val="both"/>
        <w:rPr>
          <w:rStyle w:val="IntenseEmphasis"/>
          <w:lang w:val="fr-FR"/>
        </w:rPr>
      </w:pPr>
    </w:p>
    <w:p w14:paraId="11B77135" w14:textId="77777777" w:rsidR="00C93519" w:rsidRDefault="00C93519" w:rsidP="00B767BF">
      <w:pPr>
        <w:jc w:val="both"/>
        <w:rPr>
          <w:rStyle w:val="IntenseEmphasis"/>
          <w:lang w:val="fr-FR"/>
        </w:rPr>
      </w:pPr>
    </w:p>
    <w:p w14:paraId="2991B7CE" w14:textId="77777777" w:rsidR="00C93519" w:rsidRDefault="00C93519" w:rsidP="00B767BF">
      <w:pPr>
        <w:jc w:val="both"/>
        <w:rPr>
          <w:rStyle w:val="IntenseEmphasis"/>
          <w:lang w:val="fr-FR"/>
        </w:rPr>
      </w:pPr>
    </w:p>
    <w:p w14:paraId="3424D054" w14:textId="77777777" w:rsidR="00C93519" w:rsidRDefault="00C93519" w:rsidP="00B767BF">
      <w:pPr>
        <w:jc w:val="both"/>
        <w:rPr>
          <w:rStyle w:val="IntenseEmphasis"/>
          <w:lang w:val="fr-FR"/>
        </w:rPr>
      </w:pPr>
    </w:p>
    <w:p w14:paraId="05D1B2DE" w14:textId="77777777" w:rsidR="00C93519" w:rsidRDefault="00C93519" w:rsidP="00B767BF">
      <w:pPr>
        <w:jc w:val="both"/>
        <w:rPr>
          <w:rStyle w:val="IntenseEmphasis"/>
          <w:lang w:val="fr-FR"/>
        </w:rPr>
      </w:pPr>
    </w:p>
    <w:p w14:paraId="7DBD5621" w14:textId="77777777" w:rsidR="00C93519" w:rsidRDefault="00C93519" w:rsidP="00B767BF">
      <w:pPr>
        <w:jc w:val="both"/>
        <w:rPr>
          <w:rStyle w:val="IntenseEmphasis"/>
          <w:lang w:val="fr-FR"/>
        </w:rPr>
      </w:pPr>
    </w:p>
    <w:p w14:paraId="5309029E" w14:textId="77777777" w:rsidR="00C93519" w:rsidRDefault="00C93519" w:rsidP="00B767BF">
      <w:pPr>
        <w:jc w:val="both"/>
        <w:rPr>
          <w:rStyle w:val="IntenseEmphasis"/>
          <w:lang w:val="fr-FR"/>
        </w:rPr>
      </w:pPr>
    </w:p>
    <w:p w14:paraId="71C36F52" w14:textId="77777777" w:rsidR="00FD6C66" w:rsidRDefault="00FD6C66" w:rsidP="00B767BF">
      <w:pPr>
        <w:jc w:val="both"/>
        <w:rPr>
          <w:rStyle w:val="IntenseEmphasis"/>
          <w:lang w:val="fr-FR"/>
        </w:rPr>
      </w:pPr>
    </w:p>
    <w:p w14:paraId="4C31AD43" w14:textId="77777777" w:rsidR="0076446E" w:rsidRDefault="0076446E" w:rsidP="00B767BF">
      <w:pPr>
        <w:jc w:val="both"/>
      </w:pPr>
    </w:p>
    <w:p w14:paraId="697530B6" w14:textId="77777777" w:rsidR="0076446E" w:rsidRDefault="0076446E" w:rsidP="00B767BF">
      <w:pPr>
        <w:jc w:val="both"/>
      </w:pPr>
    </w:p>
    <w:p w14:paraId="50B8F14A" w14:textId="28D0B324" w:rsidR="00C93519" w:rsidRPr="00C93519" w:rsidRDefault="00C93519" w:rsidP="00B767BF">
      <w:pPr>
        <w:jc w:val="both"/>
      </w:pPr>
      <w:r w:rsidRPr="00C93519">
        <w:t>On constate que les deux IUT ont un pourcentage d’admission de bacheliers avec mention assez proche</w:t>
      </w:r>
      <w:r>
        <w:t xml:space="preserve"> avec une différence d</w:t>
      </w:r>
      <w:r w:rsidR="00C221EF">
        <w:t>’environ 6%</w:t>
      </w:r>
      <w:r w:rsidRPr="00C93519">
        <w:t>, cependant l’IUT de Blagnac est légèrement supérieure</w:t>
      </w:r>
      <w:r>
        <w:t>.</w:t>
      </w:r>
    </w:p>
    <w:p w14:paraId="627E5721" w14:textId="77777777" w:rsidR="00C93519" w:rsidRDefault="00C93519" w:rsidP="00B767BF">
      <w:pPr>
        <w:jc w:val="both"/>
        <w:rPr>
          <w:rStyle w:val="IntenseEmphasis"/>
          <w:lang w:val="fr-FR"/>
        </w:rPr>
      </w:pPr>
    </w:p>
    <w:p w14:paraId="6C210145" w14:textId="77777777" w:rsidR="005641FE" w:rsidRDefault="005641FE" w:rsidP="00B767BF">
      <w:pPr>
        <w:jc w:val="both"/>
        <w:rPr>
          <w:rStyle w:val="IntenseEmphasis"/>
          <w:lang w:val="fr-FR"/>
        </w:rPr>
      </w:pPr>
    </w:p>
    <w:p w14:paraId="0DB0CCA9" w14:textId="5DB6D167" w:rsidR="006A1F78" w:rsidRDefault="006A1F78" w:rsidP="0076446E">
      <w:pPr>
        <w:pageBreakBefore/>
        <w:jc w:val="both"/>
        <w:rPr>
          <w:rStyle w:val="IntenseEmphasis"/>
          <w:lang w:val="fr-FR"/>
        </w:rPr>
      </w:pPr>
      <w:r>
        <w:rPr>
          <w:rStyle w:val="IntenseEmphasis"/>
          <w:lang w:val="fr-FR"/>
        </w:rPr>
        <w:lastRenderedPageBreak/>
        <w:t>Taux de bacs généraux, technologiques, professionnels et autres</w:t>
      </w:r>
    </w:p>
    <w:p w14:paraId="030E6473" w14:textId="77777777" w:rsidR="00C221EF" w:rsidRDefault="00C221EF" w:rsidP="00B767BF">
      <w:pPr>
        <w:jc w:val="both"/>
        <w:rPr>
          <w:rStyle w:val="IntenseEmphasis"/>
          <w:lang w:val="fr-FR"/>
        </w:rPr>
      </w:pPr>
    </w:p>
    <w:p w14:paraId="3352F873" w14:textId="1112199D" w:rsidR="00156CB4" w:rsidRDefault="00C221EF" w:rsidP="00B767BF">
      <w:pPr>
        <w:jc w:val="both"/>
        <w:rPr>
          <w:noProof/>
        </w:rPr>
      </w:pPr>
      <w:r>
        <w:rPr>
          <w:rStyle w:val="IntenseEmphasis"/>
          <w:i w:val="0"/>
          <w:iCs w:val="0"/>
          <w:color w:val="000000" w:themeColor="text1"/>
          <w:lang w:val="fr-FR"/>
        </w:rPr>
        <w:t>Afin de représenter la répartition des différents bacs au sein des admis de chaque IUT, il convient d’utiliser un diagramme circulaire.</w:t>
      </w:r>
      <w:r w:rsidRPr="00C221EF">
        <w:rPr>
          <w:noProof/>
        </w:rPr>
        <w:t xml:space="preserve"> </w:t>
      </w:r>
    </w:p>
    <w:p w14:paraId="56BF437C" w14:textId="5C154F27" w:rsidR="00C221EF" w:rsidRDefault="00C221EF" w:rsidP="00B767BF">
      <w:pPr>
        <w:jc w:val="both"/>
        <w:rPr>
          <w:noProof/>
        </w:rPr>
      </w:pPr>
    </w:p>
    <w:p w14:paraId="3C505D9E" w14:textId="388A6921" w:rsidR="00C221EF" w:rsidRDefault="0076446E" w:rsidP="00B767BF">
      <w:pPr>
        <w:jc w:val="both"/>
        <w:rPr>
          <w:noProof/>
        </w:rPr>
      </w:pPr>
      <w:r w:rsidRPr="00C221EF">
        <w:rPr>
          <w:rStyle w:val="IntenseEmphasis"/>
          <w:i w:val="0"/>
          <w:iCs w:val="0"/>
          <w:noProof/>
          <w:color w:val="000000" w:themeColor="text1"/>
          <w:lang w:val="fr-FR"/>
        </w:rPr>
        <w:drawing>
          <wp:anchor distT="0" distB="0" distL="114300" distR="114300" simplePos="0" relativeHeight="251661312" behindDoc="1" locked="0" layoutInCell="1" allowOverlap="1" wp14:anchorId="41B51921" wp14:editId="271D3B5B">
            <wp:simplePos x="0" y="0"/>
            <wp:positionH relativeFrom="column">
              <wp:posOffset>2976245</wp:posOffset>
            </wp:positionH>
            <wp:positionV relativeFrom="paragraph">
              <wp:posOffset>225503</wp:posOffset>
            </wp:positionV>
            <wp:extent cx="3218180" cy="3048635"/>
            <wp:effectExtent l="0" t="0" r="0" b="0"/>
            <wp:wrapSquare wrapText="bothSides"/>
            <wp:docPr id="2115930578" name="Picture 1" descr="A pie char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30578" name="Picture 1" descr="A pie chart with numbers and symbol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18180" cy="3048635"/>
                    </a:xfrm>
                    <a:prstGeom prst="rect">
                      <a:avLst/>
                    </a:prstGeom>
                  </pic:spPr>
                </pic:pic>
              </a:graphicData>
            </a:graphic>
            <wp14:sizeRelH relativeFrom="page">
              <wp14:pctWidth>0</wp14:pctWidth>
            </wp14:sizeRelH>
            <wp14:sizeRelV relativeFrom="page">
              <wp14:pctHeight>0</wp14:pctHeight>
            </wp14:sizeRelV>
          </wp:anchor>
        </w:drawing>
      </w:r>
      <w:r w:rsidRPr="00C221EF">
        <w:rPr>
          <w:rStyle w:val="IntenseEmphasis"/>
          <w:i w:val="0"/>
          <w:iCs w:val="0"/>
          <w:noProof/>
          <w:color w:val="000000" w:themeColor="text1"/>
          <w:lang w:val="fr-FR"/>
        </w:rPr>
        <w:drawing>
          <wp:anchor distT="0" distB="0" distL="114300" distR="114300" simplePos="0" relativeHeight="251660288" behindDoc="1" locked="0" layoutInCell="1" allowOverlap="1" wp14:anchorId="779F5576" wp14:editId="36B0E772">
            <wp:simplePos x="0" y="0"/>
            <wp:positionH relativeFrom="column">
              <wp:posOffset>-448310</wp:posOffset>
            </wp:positionH>
            <wp:positionV relativeFrom="paragraph">
              <wp:posOffset>225503</wp:posOffset>
            </wp:positionV>
            <wp:extent cx="3218815" cy="3021965"/>
            <wp:effectExtent l="0" t="0" r="0" b="635"/>
            <wp:wrapSquare wrapText="bothSides"/>
            <wp:docPr id="1457584205" name="Picture 1" descr="A pie char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84205" name="Picture 1" descr="A pie chart with numbers and symbol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18815" cy="3021965"/>
                    </a:xfrm>
                    <a:prstGeom prst="rect">
                      <a:avLst/>
                    </a:prstGeom>
                  </pic:spPr>
                </pic:pic>
              </a:graphicData>
            </a:graphic>
            <wp14:sizeRelH relativeFrom="page">
              <wp14:pctWidth>0</wp14:pctWidth>
            </wp14:sizeRelH>
            <wp14:sizeRelV relativeFrom="page">
              <wp14:pctHeight>0</wp14:pctHeight>
            </wp14:sizeRelV>
          </wp:anchor>
        </w:drawing>
      </w:r>
    </w:p>
    <w:p w14:paraId="70536476" w14:textId="77777777" w:rsidR="00156CB4" w:rsidRDefault="00156CB4" w:rsidP="00B767BF">
      <w:pPr>
        <w:jc w:val="both"/>
        <w:rPr>
          <w:rStyle w:val="IntenseEmphasis"/>
          <w:i w:val="0"/>
          <w:iCs w:val="0"/>
          <w:color w:val="000000" w:themeColor="text1"/>
          <w:lang w:val="fr-FR"/>
        </w:rPr>
      </w:pPr>
    </w:p>
    <w:p w14:paraId="28B37A1C" w14:textId="77777777" w:rsidR="00A134FD" w:rsidRDefault="00A134FD" w:rsidP="00B767BF">
      <w:pPr>
        <w:jc w:val="both"/>
        <w:rPr>
          <w:rStyle w:val="IntenseEmphasis"/>
          <w:i w:val="0"/>
          <w:iCs w:val="0"/>
          <w:color w:val="000000" w:themeColor="text1"/>
          <w:lang w:val="fr-FR"/>
        </w:rPr>
      </w:pPr>
    </w:p>
    <w:p w14:paraId="7EAF156D" w14:textId="77777777" w:rsidR="0076446E" w:rsidRDefault="0076446E" w:rsidP="00B767BF">
      <w:pPr>
        <w:jc w:val="both"/>
        <w:rPr>
          <w:rStyle w:val="IntenseEmphasis"/>
          <w:i w:val="0"/>
          <w:iCs w:val="0"/>
          <w:color w:val="000000" w:themeColor="text1"/>
          <w:lang w:val="fr-FR"/>
        </w:rPr>
      </w:pPr>
    </w:p>
    <w:p w14:paraId="18CCD4E4" w14:textId="30EFE849" w:rsidR="00156CB4" w:rsidRDefault="00156CB4" w:rsidP="00B767BF">
      <w:pPr>
        <w:jc w:val="both"/>
        <w:rPr>
          <w:rStyle w:val="IntenseEmphasis"/>
          <w:i w:val="0"/>
          <w:iCs w:val="0"/>
          <w:color w:val="000000" w:themeColor="text1"/>
          <w:lang w:val="fr-FR"/>
        </w:rPr>
      </w:pPr>
      <w:r>
        <w:rPr>
          <w:rStyle w:val="IntenseEmphasis"/>
          <w:i w:val="0"/>
          <w:iCs w:val="0"/>
          <w:color w:val="000000" w:themeColor="text1"/>
          <w:lang w:val="fr-FR"/>
        </w:rPr>
        <w:t>Le total des diagrammes n’est pas exactement égal à 100% à cause des arrondis des différentes valeurs.</w:t>
      </w:r>
    </w:p>
    <w:p w14:paraId="4AAA05EF" w14:textId="09F2700F" w:rsidR="00156CB4" w:rsidRDefault="00C221EF" w:rsidP="00B767BF">
      <w:pPr>
        <w:jc w:val="both"/>
        <w:rPr>
          <w:rStyle w:val="IntenseEmphasis"/>
          <w:i w:val="0"/>
          <w:iCs w:val="0"/>
          <w:color w:val="000000" w:themeColor="text1"/>
          <w:lang w:val="fr-FR"/>
        </w:rPr>
      </w:pPr>
      <w:r>
        <w:rPr>
          <w:rStyle w:val="IntenseEmphasis"/>
          <w:i w:val="0"/>
          <w:iCs w:val="0"/>
          <w:color w:val="000000" w:themeColor="text1"/>
          <w:lang w:val="fr-FR"/>
        </w:rPr>
        <w:t xml:space="preserve">Grâce à ces diagrammes, on constate que la répartition est très différente entre les deux IUT, en effet les bacs généraux représentent 70% des admis au sein de l’IUT de Rodez contre </w:t>
      </w:r>
      <w:r w:rsidR="00156CB4">
        <w:rPr>
          <w:rStyle w:val="IntenseEmphasis"/>
          <w:i w:val="0"/>
          <w:iCs w:val="0"/>
          <w:color w:val="000000" w:themeColor="text1"/>
          <w:lang w:val="fr-FR"/>
        </w:rPr>
        <w:t>45% à l’IUT de Blagnac. Il en va de même pour les bacs technos qui sont beaucoup plus représentés au sein de l’IUT de Blagnac, avec 45% des admis contre seulement 24% à l’IUT de Rodez. Le pourcentage des admis n’étant pas issus de bacs sont quant à eux similaires, 7% à l’IUT de Rodez et 9% à Blagnac.</w:t>
      </w:r>
    </w:p>
    <w:p w14:paraId="4439931F" w14:textId="77777777" w:rsidR="00156CB4" w:rsidRDefault="00156CB4" w:rsidP="00B767BF">
      <w:pPr>
        <w:jc w:val="both"/>
        <w:rPr>
          <w:rStyle w:val="IntenseEmphasis"/>
          <w:i w:val="0"/>
          <w:iCs w:val="0"/>
          <w:color w:val="000000" w:themeColor="text1"/>
          <w:lang w:val="fr-FR"/>
        </w:rPr>
      </w:pPr>
    </w:p>
    <w:p w14:paraId="49857F2B" w14:textId="77777777" w:rsidR="00156CB4" w:rsidRDefault="00156CB4" w:rsidP="00B767BF">
      <w:pPr>
        <w:jc w:val="both"/>
        <w:rPr>
          <w:rStyle w:val="IntenseEmphasis"/>
          <w:i w:val="0"/>
          <w:iCs w:val="0"/>
          <w:color w:val="000000" w:themeColor="text1"/>
          <w:lang w:val="fr-FR"/>
        </w:rPr>
      </w:pPr>
    </w:p>
    <w:p w14:paraId="21F7A6E9" w14:textId="77777777" w:rsidR="005641FE" w:rsidRDefault="005641FE" w:rsidP="00B767BF">
      <w:pPr>
        <w:jc w:val="both"/>
        <w:rPr>
          <w:rStyle w:val="IntenseEmphasis"/>
          <w:i w:val="0"/>
          <w:iCs w:val="0"/>
          <w:color w:val="000000" w:themeColor="text1"/>
          <w:lang w:val="fr-FR"/>
        </w:rPr>
      </w:pPr>
    </w:p>
    <w:p w14:paraId="2043CC06" w14:textId="6E77D2CD" w:rsidR="00156CB4" w:rsidRDefault="00156CB4" w:rsidP="00B767BF">
      <w:pPr>
        <w:jc w:val="both"/>
        <w:rPr>
          <w:rStyle w:val="IntenseEmphasis"/>
        </w:rPr>
      </w:pPr>
      <w:r>
        <w:rPr>
          <w:rStyle w:val="IntenseEmphasis"/>
        </w:rPr>
        <w:lastRenderedPageBreak/>
        <w:t>Pourcentage des boursiers admis</w:t>
      </w:r>
    </w:p>
    <w:p w14:paraId="52B96F2B" w14:textId="1C4F51D3" w:rsidR="00156CB4" w:rsidRDefault="00156CB4" w:rsidP="00B767BF">
      <w:pPr>
        <w:jc w:val="both"/>
        <w:rPr>
          <w:rStyle w:val="IntenseEmphasis"/>
          <w:i w:val="0"/>
          <w:iCs w:val="0"/>
          <w:color w:val="000000" w:themeColor="text1"/>
        </w:rPr>
      </w:pPr>
      <w:r w:rsidRPr="00156CB4">
        <w:rPr>
          <w:rStyle w:val="IntenseEmphasis"/>
          <w:i w:val="0"/>
          <w:iCs w:val="0"/>
          <w:color w:val="000000" w:themeColor="text1"/>
        </w:rPr>
        <w:t>Pour le calcul du pourcentage des boursiers admis, on divise le nombre de boursiers admis par le nombre total d’admis.</w:t>
      </w:r>
    </w:p>
    <w:p w14:paraId="56325E4E" w14:textId="77D5E014" w:rsidR="00156CB4" w:rsidRDefault="00156CB4" w:rsidP="00B767BF">
      <w:pPr>
        <w:jc w:val="both"/>
        <w:rPr>
          <w:rStyle w:val="IntenseEmphasis"/>
          <w:rFonts w:eastAsiaTheme="minorEastAsia"/>
          <w:i w:val="0"/>
          <w:iCs w:val="0"/>
          <w:color w:val="000000" w:themeColor="text1"/>
          <w:lang w:val="fr-FR"/>
        </w:rPr>
      </w:pPr>
      <w:r>
        <w:rPr>
          <w:rStyle w:val="IntenseEmphasis"/>
          <w:i w:val="0"/>
          <w:iCs w:val="0"/>
          <w:color w:val="000000" w:themeColor="text1"/>
        </w:rPr>
        <w:t xml:space="preserve">On a donc pour Rodez : </w:t>
      </w:r>
      <m:oMath>
        <m:f>
          <m:fPr>
            <m:ctrlPr>
              <w:rPr>
                <w:rStyle w:val="IntenseEmphasis"/>
                <w:rFonts w:ascii="Cambria Math" w:hAnsi="Cambria Math"/>
                <w:i w:val="0"/>
                <w:iCs w:val="0"/>
                <w:color w:val="000000" w:themeColor="text1"/>
                <w:lang w:val="fr-FR"/>
              </w:rPr>
            </m:ctrlPr>
          </m:fPr>
          <m:num>
            <m:r>
              <m:rPr>
                <m:sty m:val="p"/>
              </m:rPr>
              <w:rPr>
                <w:rStyle w:val="IntenseEmphasis"/>
                <w:rFonts w:ascii="Cambria Math" w:hAnsi="Cambria Math"/>
                <w:color w:val="000000" w:themeColor="text1"/>
                <w:lang w:val="fr-FR"/>
              </w:rPr>
              <m:t>5</m:t>
            </m:r>
          </m:num>
          <m:den>
            <m:r>
              <m:rPr>
                <m:sty m:val="p"/>
              </m:rPr>
              <w:rPr>
                <w:rStyle w:val="IntenseEmphasis"/>
                <w:rFonts w:ascii="Cambria Math" w:hAnsi="Cambria Math"/>
                <w:color w:val="000000" w:themeColor="text1"/>
                <w:lang w:val="fr-FR"/>
              </w:rPr>
              <m:t>46</m:t>
            </m:r>
          </m:den>
        </m:f>
        <m:r>
          <m:rPr>
            <m:sty m:val="p"/>
          </m:rPr>
          <w:rPr>
            <w:rStyle w:val="IntenseEmphasis"/>
            <w:rFonts w:ascii="Cambria Math" w:hAnsi="Cambria Math"/>
            <w:color w:val="000000" w:themeColor="text1"/>
            <w:lang w:val="fr-FR"/>
          </w:rPr>
          <m:t>×100≅10,87</m:t>
        </m:r>
      </m:oMath>
    </w:p>
    <w:p w14:paraId="1BD8640C" w14:textId="4A82B214" w:rsidR="00156CB4" w:rsidRDefault="00156CB4" w:rsidP="00B767BF">
      <w:pPr>
        <w:jc w:val="both"/>
        <w:rPr>
          <w:rStyle w:val="IntenseEmphasis"/>
          <w:rFonts w:eastAsiaTheme="minorEastAsia"/>
          <w:i w:val="0"/>
          <w:iCs w:val="0"/>
          <w:color w:val="000000" w:themeColor="text1"/>
          <w:lang w:val="fr-FR"/>
        </w:rPr>
      </w:pPr>
      <w:r>
        <w:rPr>
          <w:rStyle w:val="IntenseEmphasis"/>
          <w:rFonts w:eastAsiaTheme="minorEastAsia"/>
          <w:i w:val="0"/>
          <w:iCs w:val="0"/>
          <w:color w:val="000000" w:themeColor="text1"/>
          <w:lang w:val="fr-FR"/>
        </w:rPr>
        <w:t xml:space="preserve">Et pour Blagnac : </w:t>
      </w:r>
      <m:oMath>
        <m:f>
          <m:fPr>
            <m:ctrlPr>
              <w:rPr>
                <w:rStyle w:val="IntenseEmphasis"/>
                <w:rFonts w:ascii="Cambria Math" w:hAnsi="Cambria Math"/>
                <w:i w:val="0"/>
                <w:iCs w:val="0"/>
                <w:color w:val="000000" w:themeColor="text1"/>
                <w:lang w:val="fr-FR"/>
              </w:rPr>
            </m:ctrlPr>
          </m:fPr>
          <m:num>
            <m:r>
              <m:rPr>
                <m:sty m:val="p"/>
              </m:rPr>
              <w:rPr>
                <w:rStyle w:val="IntenseEmphasis"/>
                <w:rFonts w:ascii="Cambria Math" w:hAnsi="Cambria Math"/>
                <w:color w:val="000000" w:themeColor="text1"/>
                <w:lang w:val="fr-FR"/>
              </w:rPr>
              <m:t>30</m:t>
            </m:r>
          </m:num>
          <m:den>
            <m:r>
              <m:rPr>
                <m:sty m:val="p"/>
              </m:rPr>
              <w:rPr>
                <w:rStyle w:val="IntenseEmphasis"/>
                <w:rFonts w:ascii="Cambria Math" w:hAnsi="Cambria Math"/>
                <w:color w:val="000000" w:themeColor="text1"/>
                <w:lang w:val="fr-FR"/>
              </w:rPr>
              <m:t>99</m:t>
            </m:r>
          </m:den>
        </m:f>
        <m:r>
          <m:rPr>
            <m:sty m:val="p"/>
          </m:rPr>
          <w:rPr>
            <w:rStyle w:val="IntenseEmphasis"/>
            <w:rFonts w:ascii="Cambria Math" w:hAnsi="Cambria Math"/>
            <w:color w:val="000000" w:themeColor="text1"/>
            <w:lang w:val="fr-FR"/>
          </w:rPr>
          <m:t>×100≅30,30</m:t>
        </m:r>
      </m:oMath>
    </w:p>
    <w:p w14:paraId="19496F5E" w14:textId="03C3108D" w:rsidR="00156CB4" w:rsidRDefault="00156CB4" w:rsidP="00B767BF">
      <w:pPr>
        <w:jc w:val="both"/>
        <w:rPr>
          <w:rStyle w:val="IntenseEmphasis"/>
          <w:rFonts w:eastAsiaTheme="minorEastAsia"/>
          <w:i w:val="0"/>
          <w:iCs w:val="0"/>
          <w:color w:val="000000" w:themeColor="text1"/>
          <w:lang w:val="fr-FR"/>
        </w:rPr>
      </w:pPr>
      <w:r>
        <w:rPr>
          <w:rStyle w:val="IntenseEmphasis"/>
          <w:rFonts w:eastAsiaTheme="minorEastAsia"/>
          <w:i w:val="0"/>
          <w:iCs w:val="0"/>
          <w:color w:val="000000" w:themeColor="text1"/>
          <w:lang w:val="fr-FR"/>
        </w:rPr>
        <w:t xml:space="preserve">On obtient donc le diagramme suivant : </w:t>
      </w:r>
    </w:p>
    <w:p w14:paraId="0D41E041" w14:textId="77777777" w:rsidR="00156CB4" w:rsidRDefault="00156CB4" w:rsidP="00B767BF">
      <w:pPr>
        <w:jc w:val="both"/>
        <w:rPr>
          <w:rStyle w:val="IntenseEmphasis"/>
          <w:rFonts w:eastAsiaTheme="minorEastAsia"/>
          <w:i w:val="0"/>
          <w:iCs w:val="0"/>
          <w:color w:val="000000" w:themeColor="text1"/>
          <w:lang w:val="fr-FR"/>
        </w:rPr>
      </w:pPr>
    </w:p>
    <w:p w14:paraId="637991D8" w14:textId="04111462" w:rsidR="00156CB4" w:rsidRDefault="00156CB4" w:rsidP="00B767BF">
      <w:pPr>
        <w:jc w:val="both"/>
        <w:rPr>
          <w:rStyle w:val="IntenseEmphasis"/>
          <w:i w:val="0"/>
          <w:iCs w:val="0"/>
          <w:color w:val="000000" w:themeColor="text1"/>
        </w:rPr>
      </w:pPr>
      <w:r w:rsidRPr="00156CB4">
        <w:rPr>
          <w:rStyle w:val="IntenseEmphasis"/>
          <w:i w:val="0"/>
          <w:iCs w:val="0"/>
          <w:noProof/>
          <w:color w:val="000000" w:themeColor="text1"/>
        </w:rPr>
        <w:drawing>
          <wp:inline distT="0" distB="0" distL="0" distR="0" wp14:anchorId="1E479C97" wp14:editId="2D687BCE">
            <wp:extent cx="4870580" cy="3741236"/>
            <wp:effectExtent l="0" t="0" r="0" b="5715"/>
            <wp:docPr id="167949286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92862" name="Picture 1" descr="A screenshot of a video game&#10;&#10;Description automatically generated"/>
                    <pic:cNvPicPr/>
                  </pic:nvPicPr>
                  <pic:blipFill rotWithShape="1">
                    <a:blip r:embed="rId12"/>
                    <a:srcRect l="20512"/>
                    <a:stretch/>
                  </pic:blipFill>
                  <pic:spPr bwMode="auto">
                    <a:xfrm>
                      <a:off x="0" y="0"/>
                      <a:ext cx="4881289" cy="3749462"/>
                    </a:xfrm>
                    <a:prstGeom prst="rect">
                      <a:avLst/>
                    </a:prstGeom>
                    <a:ln>
                      <a:noFill/>
                    </a:ln>
                    <a:extLst>
                      <a:ext uri="{53640926-AAD7-44D8-BBD7-CCE9431645EC}">
                        <a14:shadowObscured xmlns:a14="http://schemas.microsoft.com/office/drawing/2010/main"/>
                      </a:ext>
                    </a:extLst>
                  </pic:spPr>
                </pic:pic>
              </a:graphicData>
            </a:graphic>
          </wp:inline>
        </w:drawing>
      </w:r>
    </w:p>
    <w:p w14:paraId="62E0C817" w14:textId="29ECADD7" w:rsidR="00156CB4" w:rsidRDefault="00156CB4" w:rsidP="00B767BF">
      <w:pPr>
        <w:jc w:val="both"/>
        <w:rPr>
          <w:rStyle w:val="IntenseEmphasis"/>
          <w:i w:val="0"/>
          <w:iCs w:val="0"/>
          <w:color w:val="000000" w:themeColor="text1"/>
          <w:lang w:val="fr-FR"/>
        </w:rPr>
      </w:pPr>
    </w:p>
    <w:p w14:paraId="6AA15E24" w14:textId="77777777" w:rsidR="005641FE" w:rsidRDefault="005641FE" w:rsidP="00B767BF">
      <w:pPr>
        <w:jc w:val="both"/>
        <w:rPr>
          <w:rStyle w:val="IntenseEmphasis"/>
          <w:i w:val="0"/>
          <w:iCs w:val="0"/>
          <w:color w:val="000000" w:themeColor="text1"/>
          <w:lang w:val="fr-FR"/>
        </w:rPr>
      </w:pPr>
    </w:p>
    <w:p w14:paraId="746C1620" w14:textId="493AAA3A" w:rsidR="00156CB4" w:rsidRDefault="00156CB4" w:rsidP="00B767BF">
      <w:pPr>
        <w:jc w:val="both"/>
        <w:rPr>
          <w:rStyle w:val="IntenseEmphasis"/>
          <w:i w:val="0"/>
          <w:iCs w:val="0"/>
          <w:color w:val="000000" w:themeColor="text1"/>
          <w:lang w:val="fr-FR"/>
        </w:rPr>
      </w:pPr>
      <w:r>
        <w:rPr>
          <w:rStyle w:val="IntenseEmphasis"/>
          <w:i w:val="0"/>
          <w:iCs w:val="0"/>
          <w:color w:val="000000" w:themeColor="text1"/>
          <w:lang w:val="fr-FR"/>
        </w:rPr>
        <w:t>On observe que le taux de boursiers admis est beaucoup plus élevé au sein de l’IUT de Blagnac avec environ 30,30% contre seulement 10,87%</w:t>
      </w:r>
    </w:p>
    <w:p w14:paraId="4D60A47C" w14:textId="77777777" w:rsidR="00156CB4" w:rsidRDefault="00156CB4" w:rsidP="00B767BF">
      <w:pPr>
        <w:jc w:val="both"/>
        <w:rPr>
          <w:rStyle w:val="IntenseEmphasis"/>
          <w:i w:val="0"/>
          <w:iCs w:val="0"/>
          <w:color w:val="000000" w:themeColor="text1"/>
          <w:lang w:val="fr-FR"/>
        </w:rPr>
      </w:pPr>
    </w:p>
    <w:p w14:paraId="187A9244" w14:textId="307FC6C3" w:rsidR="00156CB4" w:rsidRPr="00156CB4" w:rsidRDefault="00156CB4" w:rsidP="00B767BF">
      <w:pPr>
        <w:jc w:val="both"/>
        <w:rPr>
          <w:rStyle w:val="IntenseEmphasis"/>
          <w:i w:val="0"/>
          <w:iCs w:val="0"/>
          <w:color w:val="000000" w:themeColor="text1"/>
          <w:lang w:val="fr-FR"/>
        </w:rPr>
      </w:pPr>
      <w:r>
        <w:rPr>
          <w:rStyle w:val="IntenseEmphasis"/>
          <w:i w:val="0"/>
          <w:iCs w:val="0"/>
          <w:color w:val="000000" w:themeColor="text1"/>
          <w:lang w:val="fr-FR"/>
        </w:rPr>
        <w:t xml:space="preserve">On peut donc conclure que </w:t>
      </w:r>
      <w:r w:rsidR="00795558">
        <w:rPr>
          <w:rStyle w:val="IntenseEmphasis"/>
          <w:i w:val="0"/>
          <w:iCs w:val="0"/>
          <w:color w:val="000000" w:themeColor="text1"/>
          <w:lang w:val="fr-FR"/>
        </w:rPr>
        <w:t>bien que les deux formations soient identiques, hormis le taux de candidatures féminines et le taux d’admission de bachelier avec mention, les statistiques des deux établissements sont très différentes.</w:t>
      </w:r>
    </w:p>
    <w:sectPr w:rsidR="00156CB4" w:rsidRPr="00156CB4">
      <w:headerReference w:type="default" r:id="rId13"/>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2041A" w14:textId="77777777" w:rsidR="006F78D4" w:rsidRDefault="006F78D4" w:rsidP="00FF547A">
      <w:pPr>
        <w:spacing w:after="0" w:line="240" w:lineRule="auto"/>
      </w:pPr>
      <w:r>
        <w:separator/>
      </w:r>
    </w:p>
  </w:endnote>
  <w:endnote w:type="continuationSeparator" w:id="0">
    <w:p w14:paraId="7928C7B1" w14:textId="77777777" w:rsidR="006F78D4" w:rsidRDefault="006F78D4" w:rsidP="00FF5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4087146"/>
      <w:docPartObj>
        <w:docPartGallery w:val="Page Numbers (Bottom of Page)"/>
        <w:docPartUnique/>
      </w:docPartObj>
    </w:sdtPr>
    <w:sdtContent>
      <w:p w14:paraId="112D2B08" w14:textId="69A73097" w:rsidR="00FF547A" w:rsidRDefault="00FF547A" w:rsidP="005439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30F4D4" w14:textId="77777777" w:rsidR="00FF547A" w:rsidRDefault="00FF547A" w:rsidP="00FF54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8501661"/>
      <w:docPartObj>
        <w:docPartGallery w:val="Page Numbers (Bottom of Page)"/>
        <w:docPartUnique/>
      </w:docPartObj>
    </w:sdtPr>
    <w:sdtContent>
      <w:p w14:paraId="51A6AFCC" w14:textId="3C911B42" w:rsidR="00FF547A" w:rsidRDefault="00FF547A" w:rsidP="005439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F3BD00" w14:textId="77777777" w:rsidR="00FF547A" w:rsidRDefault="00FF547A" w:rsidP="00FF54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D0F3D" w14:textId="77777777" w:rsidR="006F78D4" w:rsidRDefault="006F78D4" w:rsidP="00FF547A">
      <w:pPr>
        <w:spacing w:after="0" w:line="240" w:lineRule="auto"/>
      </w:pPr>
      <w:r>
        <w:separator/>
      </w:r>
    </w:p>
  </w:footnote>
  <w:footnote w:type="continuationSeparator" w:id="0">
    <w:p w14:paraId="714FA6B0" w14:textId="77777777" w:rsidR="006F78D4" w:rsidRDefault="006F78D4" w:rsidP="00FF5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B4E1" w14:textId="186C5262" w:rsidR="00FF547A" w:rsidRDefault="00FF547A">
    <w:pPr>
      <w:pStyle w:val="Header"/>
      <w:rPr>
        <w:lang w:val="fr-FR"/>
      </w:rPr>
    </w:pPr>
    <w:r>
      <w:rPr>
        <w:lang w:val="fr-FR"/>
      </w:rPr>
      <w:t>VANHOUTTE AMAURY</w:t>
    </w:r>
  </w:p>
  <w:p w14:paraId="58E942D3" w14:textId="5DB6D9A9" w:rsidR="00FF547A" w:rsidRDefault="00FF547A">
    <w:pPr>
      <w:pStyle w:val="Header"/>
      <w:rPr>
        <w:lang w:val="fr-FR"/>
      </w:rPr>
    </w:pPr>
    <w:r>
      <w:rPr>
        <w:lang w:val="fr-FR"/>
      </w:rPr>
      <w:t>LECOCQ DYLAN</w:t>
    </w:r>
  </w:p>
  <w:p w14:paraId="20A8F875" w14:textId="77777777" w:rsidR="00FF547A" w:rsidRPr="00FF547A" w:rsidRDefault="00FF547A">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C0C66"/>
    <w:multiLevelType w:val="hybridMultilevel"/>
    <w:tmpl w:val="563E00D0"/>
    <w:lvl w:ilvl="0" w:tplc="16C6FA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9118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EF"/>
    <w:rsid w:val="00002066"/>
    <w:rsid w:val="00020085"/>
    <w:rsid w:val="000B7AFD"/>
    <w:rsid w:val="000F2686"/>
    <w:rsid w:val="00100A82"/>
    <w:rsid w:val="00156CB4"/>
    <w:rsid w:val="001B1C68"/>
    <w:rsid w:val="002607AB"/>
    <w:rsid w:val="003F410E"/>
    <w:rsid w:val="003F4A55"/>
    <w:rsid w:val="004354E7"/>
    <w:rsid w:val="004743A4"/>
    <w:rsid w:val="00503954"/>
    <w:rsid w:val="005452DB"/>
    <w:rsid w:val="005641FE"/>
    <w:rsid w:val="006613E8"/>
    <w:rsid w:val="006A1F78"/>
    <w:rsid w:val="006B3C68"/>
    <w:rsid w:val="006F78D4"/>
    <w:rsid w:val="007207BD"/>
    <w:rsid w:val="00725AE4"/>
    <w:rsid w:val="0076446E"/>
    <w:rsid w:val="00795558"/>
    <w:rsid w:val="00851C21"/>
    <w:rsid w:val="008D23EA"/>
    <w:rsid w:val="008F735C"/>
    <w:rsid w:val="0095538E"/>
    <w:rsid w:val="00991E42"/>
    <w:rsid w:val="009D59B5"/>
    <w:rsid w:val="00A134FD"/>
    <w:rsid w:val="00B767BF"/>
    <w:rsid w:val="00BC5FB7"/>
    <w:rsid w:val="00BD4DEF"/>
    <w:rsid w:val="00C221EF"/>
    <w:rsid w:val="00C320E9"/>
    <w:rsid w:val="00C93519"/>
    <w:rsid w:val="00C973D9"/>
    <w:rsid w:val="00CC6BC8"/>
    <w:rsid w:val="00D50AA2"/>
    <w:rsid w:val="00D65D62"/>
    <w:rsid w:val="00F11E3E"/>
    <w:rsid w:val="00F21F7A"/>
    <w:rsid w:val="00F2530A"/>
    <w:rsid w:val="00FD6C66"/>
    <w:rsid w:val="00FF547A"/>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080D"/>
  <w15:chartTrackingRefBased/>
  <w15:docId w15:val="{9830A3F7-9D7B-C64E-813A-78732454F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F"/>
    <w:pPr>
      <w:keepNext/>
      <w:keepLines/>
      <w:spacing w:before="360" w:after="80"/>
      <w:outlineLvl w:val="0"/>
    </w:pPr>
    <w:rPr>
      <w:rFonts w:asciiTheme="majorHAnsi" w:eastAsiaTheme="majorEastAsia" w:hAnsiTheme="majorHAnsi" w:cstheme="majorBidi"/>
      <w:color w:val="830F0E" w:themeColor="accent1" w:themeShade="BF"/>
      <w:sz w:val="40"/>
      <w:szCs w:val="40"/>
    </w:rPr>
  </w:style>
  <w:style w:type="paragraph" w:styleId="Heading2">
    <w:name w:val="heading 2"/>
    <w:basedOn w:val="Normal"/>
    <w:next w:val="Normal"/>
    <w:link w:val="Heading2Char"/>
    <w:uiPriority w:val="9"/>
    <w:unhideWhenUsed/>
    <w:qFormat/>
    <w:rsid w:val="00BD4DEF"/>
    <w:pPr>
      <w:keepNext/>
      <w:keepLines/>
      <w:spacing w:before="160" w:after="80"/>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semiHidden/>
    <w:unhideWhenUsed/>
    <w:qFormat/>
    <w:rsid w:val="00BD4DEF"/>
    <w:pPr>
      <w:keepNext/>
      <w:keepLines/>
      <w:spacing w:before="160" w:after="80"/>
      <w:outlineLvl w:val="2"/>
    </w:pPr>
    <w:rPr>
      <w:rFonts w:eastAsiaTheme="majorEastAsia" w:cstheme="majorBidi"/>
      <w:color w:val="830F0E" w:themeColor="accent1" w:themeShade="BF"/>
      <w:sz w:val="28"/>
      <w:szCs w:val="28"/>
    </w:rPr>
  </w:style>
  <w:style w:type="paragraph" w:styleId="Heading4">
    <w:name w:val="heading 4"/>
    <w:basedOn w:val="Normal"/>
    <w:next w:val="Normal"/>
    <w:link w:val="Heading4Char"/>
    <w:uiPriority w:val="9"/>
    <w:semiHidden/>
    <w:unhideWhenUsed/>
    <w:qFormat/>
    <w:rsid w:val="00BD4DEF"/>
    <w:pPr>
      <w:keepNext/>
      <w:keepLines/>
      <w:spacing w:before="80" w:after="40"/>
      <w:outlineLvl w:val="3"/>
    </w:pPr>
    <w:rPr>
      <w:rFonts w:eastAsiaTheme="majorEastAsia" w:cstheme="majorBidi"/>
      <w:i/>
      <w:iCs/>
      <w:color w:val="830F0E" w:themeColor="accent1" w:themeShade="BF"/>
    </w:rPr>
  </w:style>
  <w:style w:type="paragraph" w:styleId="Heading5">
    <w:name w:val="heading 5"/>
    <w:basedOn w:val="Normal"/>
    <w:next w:val="Normal"/>
    <w:link w:val="Heading5Char"/>
    <w:uiPriority w:val="9"/>
    <w:semiHidden/>
    <w:unhideWhenUsed/>
    <w:qFormat/>
    <w:rsid w:val="00BD4DEF"/>
    <w:pPr>
      <w:keepNext/>
      <w:keepLines/>
      <w:spacing w:before="80" w:after="40"/>
      <w:outlineLvl w:val="4"/>
    </w:pPr>
    <w:rPr>
      <w:rFonts w:eastAsiaTheme="majorEastAsia" w:cstheme="majorBidi"/>
      <w:color w:val="830F0E" w:themeColor="accent1" w:themeShade="BF"/>
    </w:rPr>
  </w:style>
  <w:style w:type="paragraph" w:styleId="Heading6">
    <w:name w:val="heading 6"/>
    <w:basedOn w:val="Normal"/>
    <w:next w:val="Normal"/>
    <w:link w:val="Heading6Char"/>
    <w:uiPriority w:val="9"/>
    <w:semiHidden/>
    <w:unhideWhenUsed/>
    <w:qFormat/>
    <w:rsid w:val="00BD4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DEF"/>
    <w:rPr>
      <w:rFonts w:asciiTheme="majorHAnsi" w:eastAsiaTheme="majorEastAsia" w:hAnsiTheme="majorHAnsi" w:cstheme="majorBidi"/>
      <w:color w:val="830F0E" w:themeColor="accent1" w:themeShade="BF"/>
      <w:sz w:val="40"/>
      <w:szCs w:val="40"/>
    </w:rPr>
  </w:style>
  <w:style w:type="character" w:customStyle="1" w:styleId="Heading2Char">
    <w:name w:val="Heading 2 Char"/>
    <w:basedOn w:val="DefaultParagraphFont"/>
    <w:link w:val="Heading2"/>
    <w:uiPriority w:val="9"/>
    <w:rsid w:val="00BD4DEF"/>
    <w:rPr>
      <w:rFonts w:asciiTheme="majorHAnsi" w:eastAsiaTheme="majorEastAsia" w:hAnsiTheme="majorHAnsi" w:cstheme="majorBidi"/>
      <w:color w:val="830F0E" w:themeColor="accent1" w:themeShade="BF"/>
      <w:sz w:val="32"/>
      <w:szCs w:val="32"/>
    </w:rPr>
  </w:style>
  <w:style w:type="character" w:customStyle="1" w:styleId="Heading3Char">
    <w:name w:val="Heading 3 Char"/>
    <w:basedOn w:val="DefaultParagraphFont"/>
    <w:link w:val="Heading3"/>
    <w:uiPriority w:val="9"/>
    <w:semiHidden/>
    <w:rsid w:val="00BD4DEF"/>
    <w:rPr>
      <w:rFonts w:eastAsiaTheme="majorEastAsia" w:cstheme="majorBidi"/>
      <w:color w:val="830F0E" w:themeColor="accent1" w:themeShade="BF"/>
      <w:sz w:val="28"/>
      <w:szCs w:val="28"/>
    </w:rPr>
  </w:style>
  <w:style w:type="character" w:customStyle="1" w:styleId="Heading4Char">
    <w:name w:val="Heading 4 Char"/>
    <w:basedOn w:val="DefaultParagraphFont"/>
    <w:link w:val="Heading4"/>
    <w:uiPriority w:val="9"/>
    <w:semiHidden/>
    <w:rsid w:val="00BD4DEF"/>
    <w:rPr>
      <w:rFonts w:eastAsiaTheme="majorEastAsia" w:cstheme="majorBidi"/>
      <w:i/>
      <w:iCs/>
      <w:color w:val="830F0E" w:themeColor="accent1" w:themeShade="BF"/>
    </w:rPr>
  </w:style>
  <w:style w:type="character" w:customStyle="1" w:styleId="Heading5Char">
    <w:name w:val="Heading 5 Char"/>
    <w:basedOn w:val="DefaultParagraphFont"/>
    <w:link w:val="Heading5"/>
    <w:uiPriority w:val="9"/>
    <w:semiHidden/>
    <w:rsid w:val="00BD4DEF"/>
    <w:rPr>
      <w:rFonts w:eastAsiaTheme="majorEastAsia" w:cstheme="majorBidi"/>
      <w:color w:val="830F0E" w:themeColor="accent1" w:themeShade="BF"/>
    </w:rPr>
  </w:style>
  <w:style w:type="character" w:customStyle="1" w:styleId="Heading6Char">
    <w:name w:val="Heading 6 Char"/>
    <w:basedOn w:val="DefaultParagraphFont"/>
    <w:link w:val="Heading6"/>
    <w:uiPriority w:val="9"/>
    <w:semiHidden/>
    <w:rsid w:val="00BD4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DEF"/>
    <w:rPr>
      <w:rFonts w:eastAsiaTheme="majorEastAsia" w:cstheme="majorBidi"/>
      <w:color w:val="272727" w:themeColor="text1" w:themeTint="D8"/>
    </w:rPr>
  </w:style>
  <w:style w:type="paragraph" w:styleId="Title">
    <w:name w:val="Title"/>
    <w:basedOn w:val="Normal"/>
    <w:next w:val="Normal"/>
    <w:link w:val="TitleChar"/>
    <w:uiPriority w:val="10"/>
    <w:qFormat/>
    <w:rsid w:val="00BD4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DEF"/>
    <w:pPr>
      <w:spacing w:before="160"/>
      <w:jc w:val="center"/>
    </w:pPr>
    <w:rPr>
      <w:i/>
      <w:iCs/>
      <w:color w:val="404040" w:themeColor="text1" w:themeTint="BF"/>
    </w:rPr>
  </w:style>
  <w:style w:type="character" w:customStyle="1" w:styleId="QuoteChar">
    <w:name w:val="Quote Char"/>
    <w:basedOn w:val="DefaultParagraphFont"/>
    <w:link w:val="Quote"/>
    <w:uiPriority w:val="29"/>
    <w:rsid w:val="00BD4DEF"/>
    <w:rPr>
      <w:i/>
      <w:iCs/>
      <w:color w:val="404040" w:themeColor="text1" w:themeTint="BF"/>
    </w:rPr>
  </w:style>
  <w:style w:type="paragraph" w:styleId="ListParagraph">
    <w:name w:val="List Paragraph"/>
    <w:basedOn w:val="Normal"/>
    <w:uiPriority w:val="34"/>
    <w:qFormat/>
    <w:rsid w:val="00BD4DEF"/>
    <w:pPr>
      <w:ind w:left="720"/>
      <w:contextualSpacing/>
    </w:pPr>
  </w:style>
  <w:style w:type="character" w:styleId="IntenseEmphasis">
    <w:name w:val="Intense Emphasis"/>
    <w:basedOn w:val="DefaultParagraphFont"/>
    <w:uiPriority w:val="21"/>
    <w:qFormat/>
    <w:rsid w:val="00BD4DEF"/>
    <w:rPr>
      <w:i/>
      <w:iCs/>
      <w:color w:val="830F0E" w:themeColor="accent1" w:themeShade="BF"/>
    </w:rPr>
  </w:style>
  <w:style w:type="paragraph" w:styleId="IntenseQuote">
    <w:name w:val="Intense Quote"/>
    <w:basedOn w:val="Normal"/>
    <w:next w:val="Normal"/>
    <w:link w:val="IntenseQuoteChar"/>
    <w:uiPriority w:val="30"/>
    <w:qFormat/>
    <w:rsid w:val="00BD4DEF"/>
    <w:pPr>
      <w:pBdr>
        <w:top w:val="single" w:sz="4" w:space="10" w:color="830F0E" w:themeColor="accent1" w:themeShade="BF"/>
        <w:bottom w:val="single" w:sz="4" w:space="10" w:color="830F0E" w:themeColor="accent1" w:themeShade="BF"/>
      </w:pBdr>
      <w:spacing w:before="360" w:after="360"/>
      <w:ind w:left="864" w:right="864"/>
      <w:jc w:val="center"/>
    </w:pPr>
    <w:rPr>
      <w:i/>
      <w:iCs/>
      <w:color w:val="830F0E" w:themeColor="accent1" w:themeShade="BF"/>
    </w:rPr>
  </w:style>
  <w:style w:type="character" w:customStyle="1" w:styleId="IntenseQuoteChar">
    <w:name w:val="Intense Quote Char"/>
    <w:basedOn w:val="DefaultParagraphFont"/>
    <w:link w:val="IntenseQuote"/>
    <w:uiPriority w:val="30"/>
    <w:rsid w:val="00BD4DEF"/>
    <w:rPr>
      <w:i/>
      <w:iCs/>
      <w:color w:val="830F0E" w:themeColor="accent1" w:themeShade="BF"/>
    </w:rPr>
  </w:style>
  <w:style w:type="character" w:styleId="IntenseReference">
    <w:name w:val="Intense Reference"/>
    <w:basedOn w:val="DefaultParagraphFont"/>
    <w:uiPriority w:val="32"/>
    <w:qFormat/>
    <w:rsid w:val="00BD4DEF"/>
    <w:rPr>
      <w:b/>
      <w:bCs/>
      <w:smallCaps/>
      <w:color w:val="830F0E" w:themeColor="accent1" w:themeShade="BF"/>
      <w:spacing w:val="5"/>
    </w:rPr>
  </w:style>
  <w:style w:type="character" w:customStyle="1" w:styleId="token">
    <w:name w:val="token"/>
    <w:basedOn w:val="DefaultParagraphFont"/>
    <w:rsid w:val="008D23EA"/>
  </w:style>
  <w:style w:type="paragraph" w:styleId="Header">
    <w:name w:val="header"/>
    <w:basedOn w:val="Normal"/>
    <w:link w:val="HeaderChar"/>
    <w:uiPriority w:val="99"/>
    <w:unhideWhenUsed/>
    <w:rsid w:val="00FF54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47A"/>
  </w:style>
  <w:style w:type="paragraph" w:styleId="Footer">
    <w:name w:val="footer"/>
    <w:basedOn w:val="Normal"/>
    <w:link w:val="FooterChar"/>
    <w:uiPriority w:val="99"/>
    <w:unhideWhenUsed/>
    <w:rsid w:val="00FF54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47A"/>
  </w:style>
  <w:style w:type="character" w:styleId="PageNumber">
    <w:name w:val="page number"/>
    <w:basedOn w:val="DefaultParagraphFont"/>
    <w:uiPriority w:val="99"/>
    <w:semiHidden/>
    <w:unhideWhenUsed/>
    <w:rsid w:val="00FF547A"/>
  </w:style>
  <w:style w:type="paragraph" w:styleId="NormalWeb">
    <w:name w:val="Normal (Web)"/>
    <w:basedOn w:val="Normal"/>
    <w:uiPriority w:val="99"/>
    <w:semiHidden/>
    <w:unhideWhenUsed/>
    <w:rsid w:val="008F735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PlaceholderText">
    <w:name w:val="Placeholder Text"/>
    <w:basedOn w:val="DefaultParagraphFont"/>
    <w:uiPriority w:val="99"/>
    <w:semiHidden/>
    <w:rsid w:val="008F735C"/>
    <w:rPr>
      <w:color w:val="666666"/>
    </w:rPr>
  </w:style>
  <w:style w:type="paragraph" w:styleId="NoSpacing">
    <w:name w:val="No Spacing"/>
    <w:uiPriority w:val="1"/>
    <w:qFormat/>
    <w:rsid w:val="00C93519"/>
    <w:pPr>
      <w:spacing w:after="0" w:line="240" w:lineRule="auto"/>
    </w:pPr>
  </w:style>
  <w:style w:type="table" w:styleId="TableGrid">
    <w:name w:val="Table Grid"/>
    <w:basedOn w:val="TableNormal"/>
    <w:uiPriority w:val="39"/>
    <w:rsid w:val="00720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60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5064">
      <w:bodyDiv w:val="1"/>
      <w:marLeft w:val="0"/>
      <w:marRight w:val="0"/>
      <w:marTop w:val="0"/>
      <w:marBottom w:val="0"/>
      <w:divBdr>
        <w:top w:val="none" w:sz="0" w:space="0" w:color="auto"/>
        <w:left w:val="none" w:sz="0" w:space="0" w:color="auto"/>
        <w:bottom w:val="none" w:sz="0" w:space="0" w:color="auto"/>
        <w:right w:val="none" w:sz="0" w:space="0" w:color="auto"/>
      </w:divBdr>
    </w:div>
    <w:div w:id="1009600458">
      <w:bodyDiv w:val="1"/>
      <w:marLeft w:val="0"/>
      <w:marRight w:val="0"/>
      <w:marTop w:val="0"/>
      <w:marBottom w:val="0"/>
      <w:divBdr>
        <w:top w:val="none" w:sz="0" w:space="0" w:color="auto"/>
        <w:left w:val="none" w:sz="0" w:space="0" w:color="auto"/>
        <w:bottom w:val="none" w:sz="0" w:space="0" w:color="auto"/>
        <w:right w:val="none" w:sz="0" w:space="0" w:color="auto"/>
      </w:divBdr>
    </w:div>
    <w:div w:id="1111557742">
      <w:bodyDiv w:val="1"/>
      <w:marLeft w:val="0"/>
      <w:marRight w:val="0"/>
      <w:marTop w:val="0"/>
      <w:marBottom w:val="0"/>
      <w:divBdr>
        <w:top w:val="none" w:sz="0" w:space="0" w:color="auto"/>
        <w:left w:val="none" w:sz="0" w:space="0" w:color="auto"/>
        <w:bottom w:val="none" w:sz="0" w:space="0" w:color="auto"/>
        <w:right w:val="none" w:sz="0" w:space="0" w:color="auto"/>
      </w:divBdr>
    </w:div>
    <w:div w:id="152050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55419-C2E9-D345-A382-A4F74DAF8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Vindevogel</dc:creator>
  <cp:keywords/>
  <dc:description/>
  <cp:lastModifiedBy>Patricia Vindevogel</cp:lastModifiedBy>
  <cp:revision>3</cp:revision>
  <dcterms:created xsi:type="dcterms:W3CDTF">2024-05-13T08:10:00Z</dcterms:created>
  <dcterms:modified xsi:type="dcterms:W3CDTF">2024-05-13T08:43:00Z</dcterms:modified>
</cp:coreProperties>
</file>