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p>
      <w:pPr>
        <w:pStyle w:val="BodyText"/>
      </w:pPr>
      <w:r>
        <w:t xml:space="preserve">To test correlation we put the percentage of remote work with the change of productivity.</w:t>
      </w:r>
    </w:p>
    <w:p>
      <w:pPr>
        <w:pStyle w:val="SourceCode"/>
      </w:pPr>
      <w:r>
        <w:rPr>
          <w:rStyle w:val="VerbatimChar"/>
        </w:rPr>
        <w:t xml:space="preserve">Unable to display output for mime type(s): text/html</w:t>
      </w:r>
    </w:p>
    <w:p>
      <w:pPr>
        <w:pStyle w:val="FirstParagraph"/>
      </w:pPr>
      <w:r>
        <w:t xml:space="preserve">We can see here a positive correlation which infers that when you spend more time remotely your productivity rises. In causality it could be interpreted as a good signal. But the coefficient is of 0.14 so a low positive correlation.</w:t>
      </w:r>
    </w:p>
    <w:bookmarkEnd w:id="40"/>
    <w:bookmarkStart w:id="41" w:name="key-findings"/>
    <w:p>
      <w:pPr>
        <w:pStyle w:val="Heading2"/>
      </w:pPr>
      <w:r>
        <w:t xml:space="preserve">Key Findings</w:t>
      </w:r>
    </w:p>
    <w:bookmarkEnd w:id="41"/>
    <w:bookmarkEnd w:id="42"/>
    <w:bookmarkStart w:id="46" w:name="methods"/>
    <w:p>
      <w:pPr>
        <w:pStyle w:val="Heading1"/>
      </w:pPr>
      <w:r>
        <w:t xml:space="preserve">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46"/>
    <w:bookmarkStart w:id="47"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p>
      <w:pPr>
        <w:pStyle w:val="BodyText"/>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bookmarkEnd w:id="47"/>
    <w:bookmarkStart w:id="56" w:name="conclusion"/>
    <w:p>
      <w:pPr>
        <w:pStyle w:val="Heading1"/>
      </w:pPr>
      <w:r>
        <w:t xml:space="preserve">Conclusion</w:t>
      </w:r>
    </w:p>
    <w:bookmarkStart w:id="48"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8"/>
    <w:bookmarkStart w:id="49"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r>
        <w:t xml:space="preserve"> </w:t>
      </w:r>
      <w:r>
        <w:t xml:space="preserve">Interpretation of the Australian Case</w:t>
      </w:r>
      <w:r>
        <w:t xml:space="preserve"> </w:t>
      </w: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9"/>
    <w:bookmarkStart w:id="50"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0"/>
    <w:bookmarkStart w:id="51"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1"/>
    <w:bookmarkStart w:id="55" w:name="what-goes-in-appendices"/>
    <w:p>
      <w:pPr>
        <w:pStyle w:val="Heading2"/>
      </w:pPr>
      <w:r>
        <w:t xml:space="preserve">What Goes in Appendices?</w:t>
      </w:r>
    </w:p>
    <w:bookmarkStart w:id="52" w:name="sec-appendix-plots"/>
    <w:p>
      <w:pPr>
        <w:pStyle w:val="Heading3"/>
      </w:pPr>
      <w:r>
        <w:t xml:space="preserve">Appendix A: Additional Exploratory Plots</w:t>
      </w:r>
    </w:p>
    <w:bookmarkEnd w:id="52"/>
    <w:bookmarkStart w:id="53" w:name="sec-appendix-code"/>
    <w:p>
      <w:pPr>
        <w:pStyle w:val="Heading3"/>
      </w:pPr>
      <w:r>
        <w:t xml:space="preserve">Appendix B: Complete Code Listings</w:t>
      </w:r>
    </w:p>
    <w:bookmarkEnd w:id="53"/>
    <w:bookmarkStart w:id="54" w:name="sec-appendix-tables"/>
    <w:p>
      <w:pPr>
        <w:pStyle w:val="Heading3"/>
      </w:pPr>
      <w:r>
        <w:t xml:space="preserve">Appendix C: Supplementary Tables</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2025-12-15T15:07:14Z</dcterms:created>
  <dcterms:modified xsi:type="dcterms:W3CDTF">2025-12-15T15:07:14Z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