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32.png" ContentType="image/png"/>
  <Override PartName="/word/media/rId21.png" ContentType="image/png"/>
  <Override PartName="/word/media/rId97.png" ContentType="image/png"/>
  <Override PartName="/word/media/rId35.jpg" ContentType="image/jpeg"/>
  <Override PartName="/word/media/rId39.jpg" ContentType="image/jpeg"/>
  <Override PartName="/word/media/rId89.png" ContentType="image/png"/>
  <Override PartName="/word/media/rId74.png" ContentType="image/png"/>
  <Override PartName="/word/media/rId81.png" ContentType="image/png"/>
  <Override PartName="/word/media/rId69.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p>
      <w:pPr>
        <w:pStyle w:val="FirstParagraph"/>
      </w:pPr>
      <w:r>
        <w:rPr>
          <w:b/>
          <w:bCs/>
        </w:rPr>
        <w:t xml:space="preserve">Chunk Options</w:t>
      </w:r>
      <w:r>
        <w:t xml:space="preserve"> </w:t>
      </w:r>
      <w:r>
        <w:t xml:space="preserve">(use</w:t>
      </w:r>
      <w:r>
        <w:t xml:space="preserve"> </w:t>
      </w:r>
      <w:r>
        <w:rPr>
          <w:rStyle w:val="VerbatimChar"/>
        </w:rPr>
        <w:t xml:space="preserve">#| option: value</w:t>
      </w:r>
      <w:r>
        <w:t xml:space="preserve"> </w:t>
      </w:r>
      <w:r>
        <w:t xml:space="preserve">at the top):</w:t>
      </w:r>
    </w:p>
    <w:p>
      <w:pPr>
        <w:pStyle w:val="Compact"/>
        <w:numPr>
          <w:ilvl w:val="0"/>
          <w:numId w:val="1001"/>
        </w:numPr>
      </w:pPr>
      <w:r>
        <w:rPr>
          <w:rStyle w:val="VerbatimChar"/>
        </w:rPr>
        <w:t xml:space="preserve">#| echo: false</w:t>
      </w:r>
      <w:r>
        <w:t xml:space="preserve"> </w:t>
      </w:r>
      <w:r>
        <w:t xml:space="preserve">- Hide code, show only output</w:t>
      </w:r>
    </w:p>
    <w:p>
      <w:pPr>
        <w:pStyle w:val="Compact"/>
        <w:numPr>
          <w:ilvl w:val="0"/>
          <w:numId w:val="1001"/>
        </w:numPr>
      </w:pPr>
      <w:r>
        <w:rPr>
          <w:rStyle w:val="VerbatimChar"/>
        </w:rPr>
        <w:t xml:space="preserve">#| eval: false</w:t>
      </w:r>
      <w:r>
        <w:t xml:space="preserve"> </w:t>
      </w:r>
      <w:r>
        <w:t xml:space="preserve">- Show code but don’t run it</w:t>
      </w:r>
    </w:p>
    <w:p>
      <w:pPr>
        <w:pStyle w:val="Compact"/>
        <w:numPr>
          <w:ilvl w:val="0"/>
          <w:numId w:val="1001"/>
        </w:numPr>
      </w:pPr>
      <w:r>
        <w:rPr>
          <w:rStyle w:val="VerbatimChar"/>
        </w:rPr>
        <w:t xml:space="preserve">#| output: false</w:t>
      </w:r>
      <w:r>
        <w:t xml:space="preserve"> </w:t>
      </w:r>
      <w:r>
        <w:t xml:space="preserve">- Run code but hide output</w:t>
      </w:r>
    </w:p>
    <w:p>
      <w:pPr>
        <w:pStyle w:val="Compact"/>
        <w:numPr>
          <w:ilvl w:val="0"/>
          <w:numId w:val="1001"/>
        </w:numPr>
      </w:pPr>
      <w:r>
        <w:rPr>
          <w:rStyle w:val="VerbatimChar"/>
        </w:rPr>
        <w:t xml:space="preserve">#| warning: false</w:t>
      </w:r>
      <w:r>
        <w:t xml:space="preserve"> </w:t>
      </w:r>
      <w:r>
        <w:t xml:space="preserve">- Suppress warning messages</w:t>
      </w:r>
    </w:p>
    <w:p>
      <w:pPr>
        <w:pStyle w:val="Compact"/>
        <w:numPr>
          <w:ilvl w:val="0"/>
          <w:numId w:val="1001"/>
        </w:numPr>
      </w:pPr>
      <w:r>
        <w:rPr>
          <w:rStyle w:val="VerbatimChar"/>
        </w:rPr>
        <w:t xml:space="preserve">#| fig-cap: "My Plot"</w:t>
      </w:r>
      <w:r>
        <w:t xml:space="preserve"> </w:t>
      </w:r>
      <w:r>
        <w:t xml:space="preserve">- Add figure caption</w:t>
      </w:r>
    </w:p>
    <w:p>
      <w:pPr>
        <w:pStyle w:val="Compact"/>
        <w:numPr>
          <w:ilvl w:val="0"/>
          <w:numId w:val="1001"/>
        </w:numPr>
      </w:pPr>
      <w:r>
        <w:rPr>
          <w:rStyle w:val="VerbatimChar"/>
        </w:rPr>
        <w:t xml:space="preserve">#| label: fig-myplot</w:t>
      </w:r>
      <w:r>
        <w:t xml:space="preserve"> </w:t>
      </w:r>
      <w:r>
        <w:t xml:space="preserve">- Label for cross-referencing</w:t>
      </w:r>
    </w:p>
    <w:p>
      <w:pPr>
        <w:pStyle w:val="FirstParagraph"/>
      </w:pPr>
      <w:r>
        <w:t xml:space="preserve">Reference with</w:t>
      </w:r>
      <w:r>
        <w:t xml:space="preserve"> </w:t>
      </w:r>
      <w:r>
        <w:rPr>
          <w:rStyle w:val="VerbatimChar"/>
        </w:rPr>
        <w:t xml:space="preserve">@eq-loss-ratio</w:t>
      </w:r>
      <w:r>
        <w:t xml:space="preserve"> </w:t>
      </w:r>
      <w:r>
        <w:t xml:space="preserve">→</w:t>
      </w:r>
      <w:r>
        <w:t xml:space="preserve"> </w:t>
      </w:r>
      <w:r>
        <w:rPr>
          <w:b/>
          <w:bCs/>
        </w:rPr>
        <w:t xml:space="preserve">?@eq-loss-ratio</w:t>
      </w:r>
    </w:p>
    <w:p>
      <w:pPr>
        <w:pStyle w:val="BodyText"/>
      </w:pPr>
      <w:r>
        <w:rPr>
          <w:b/>
          <w:bCs/>
        </w:rPr>
        <w:t xml:space="preserve">Common symbols:</w:t>
      </w:r>
      <w:r>
        <w:t xml:space="preserve"> </w:t>
      </w:r>
      <m:oMath>
        <m:r>
          <m:t>α</m:t>
        </m:r>
      </m:oMath>
      <w:r>
        <w:t xml:space="preserve">,</w:t>
      </w:r>
      <w:r>
        <w:t xml:space="preserve"> </w:t>
      </w:r>
      <m:oMath>
        <m:r>
          <m:t>β</m:t>
        </m:r>
      </m:oMath>
      <w:r>
        <w:t xml:space="preserve">,</w:t>
      </w:r>
      <w:r>
        <w:t xml:space="preserve"> </w:t>
      </w:r>
      <m:oMath>
        <m:r>
          <m:t>σ</m:t>
        </m:r>
      </m:oMath>
      <w:r>
        <w:t xml:space="preserve">,</w:t>
      </w:r>
      <w:r>
        <w:t xml:space="preserve"> </w:t>
      </w:r>
      <m:oMath>
        <m:r>
          <m:t>μ</m:t>
        </m:r>
      </m:oMath>
      <w:r>
        <w:t xml:space="preserve">,</w:t>
      </w:r>
      <w:r>
        <w:t xml:space="preserve"> </w:t>
      </w:r>
      <m:oMath>
        <m:nary>
          <m:naryPr>
            <m:chr m:val="∑"/>
            <m:limLoc m:val="undOvr"/>
            <m:subHide m:val="off"/>
            <m:supHide m:val="off"/>
          </m:naryPr>
          <m:sub>
            <m:r>
              <m:t>i</m:t>
            </m:r>
            <m:r>
              <m:rPr>
                <m:sty m:val="p"/>
              </m:rPr>
              <m:t>=</m:t>
            </m:r>
            <m:r>
              <m:t>1</m:t>
            </m:r>
          </m:sub>
          <m:sup>
            <m:r>
              <m:t>n</m:t>
            </m:r>
          </m:sup>
          <m:e>
            <m:r>
              <m:t>​</m:t>
            </m:r>
          </m:e>
        </m:nary>
      </m:oMath>
      <w:r>
        <w:t xml:space="preserve">,</w:t>
      </w:r>
      <w:r>
        <w:t xml:space="preserve"> </w:t>
      </w:r>
      <m:oMath>
        <m:nary>
          <m:naryPr>
            <m:chr m:val="∫"/>
            <m:limLoc m:val="subSup"/>
            <m:subHide m:val="off"/>
            <m:supHide m:val="off"/>
          </m:naryPr>
          <m:sub>
            <m:r>
              <m:t>a</m:t>
            </m:r>
          </m:sub>
          <m:sup>
            <m:r>
              <m:t>b</m:t>
            </m:r>
          </m:sup>
          <m:e>
            <m:r>
              <m:t>f</m:t>
            </m:r>
          </m:e>
        </m:nary>
        <m:d>
          <m:dPr>
            <m:begChr m:val="("/>
            <m:sepChr m:val=""/>
            <m:endChr m:val=")"/>
            <m:grow/>
          </m:dPr>
          <m:e>
            <m:r>
              <m:t>x</m:t>
            </m:r>
          </m:e>
        </m:d>
        <m:r>
          <m:t>d</m:t>
        </m:r>
        <m:r>
          <m:t>x</m:t>
        </m:r>
      </m:oMath>
      <w:r>
        <w:t xml:space="preserve">,</w:t>
      </w:r>
      <w:r>
        <w:t xml:space="preserve"> </w:t>
      </w:r>
      <m:oMath>
        <m:r>
          <m:t>E</m:t>
        </m:r>
        <m:d>
          <m:dPr>
            <m:begChr m:val="["/>
            <m:sepChr m:val=""/>
            <m:endChr m:val="]"/>
            <m:grow/>
          </m:dPr>
          <m:e>
            <m:r>
              <m:t>X</m:t>
            </m:r>
          </m:e>
        </m:d>
      </m:oMath>
      <w:r>
        <w:t xml:space="preserve">,</w:t>
      </w:r>
      <w:r>
        <w:t xml:space="preserve"> </w:t>
      </w:r>
      <m:oMath>
        <m:r>
          <m:rPr>
            <m:nor/>
            <m:sty m:val="p"/>
          </m:rPr>
          <m:t>Var</m:t>
        </m:r>
        <m:d>
          <m:dPr>
            <m:begChr m:val="("/>
            <m:sepChr m:val=""/>
            <m:endChr m:val=")"/>
            <m:grow/>
          </m:dPr>
          <m:e>
            <m:r>
              <m:t>X</m:t>
            </m:r>
          </m:e>
        </m:d>
      </m:oMath>
    </w:p>
    <w:p>
      <w:pPr>
        <w:pStyle w:val="BodyText"/>
      </w:pPr>
      <w:r>
        <w:t xml:space="preserve">More at</w:t>
      </w:r>
      <w:r>
        <w:t xml:space="preserve"> </w:t>
      </w:r>
      <w:hyperlink r:id="rId20">
        <w:r>
          <w:rPr>
            <w:rStyle w:val="Hyperlink"/>
          </w:rPr>
          <w:t xml:space="preserve">LaTeX Math Symbols</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Cross-Referencing Sections, Figures, Tables, and Equations</w:t>
            </w:r>
          </w:p>
        </w:tc>
      </w:tr>
      <w:tr>
        <w:trPr>
          <w:cantSplit/>
        </w:trPr>
        <w:tc>
          <w:tcPr>
            <w:tcMar>
              <w:top w:w="108" w:type="dxa"/>
              <w:bottom w:w="108" w:type="dxa"/>
            </w:tcMar>
          </w:tcPr>
          <w:p>
            <w:pPr>
              <w:pStyle w:val="BodyText"/>
            </w:pPr>
            <w:pPr>
              <w:spacing w:before="16"/>
            </w:pPr>
            <w:r>
              <w:t xml:space="preserve">Quarto automatically numbers and creates clickable links for:</w:t>
            </w:r>
          </w:p>
          <w:p>
            <w:pPr>
              <w:pStyle w:val="BodyText"/>
            </w:pPr>
            <w:r>
              <w:rPr>
                <w:b/>
                <w:bCs/>
              </w:rPr>
              <w:t xml:space="preserve">Sections:</w:t>
            </w:r>
          </w:p>
          <w:p>
            <w:pPr>
              <w:pStyle w:val="SourceCode"/>
            </w:pPr>
            <w:r>
              <w:rPr>
                <w:rStyle w:val="FunctionTok"/>
              </w:rPr>
              <w:t xml:space="preserve">### Appendix A: Additional Plots {#sec-appendix-plots}</w:t>
            </w:r>
            <w:r>
              <w:br/>
            </w:r>
            <w:r>
              <w:br/>
            </w:r>
            <w:r>
              <w:rPr>
                <w:rStyle w:val="NormalTok"/>
              </w:rPr>
              <w:t xml:space="preserve">Reference with: @sec-appendix-plots</w:t>
            </w:r>
          </w:p>
          <w:p>
            <w:pPr>
              <w:pStyle w:val="FirstParagraph"/>
            </w:pPr>
            <w:r>
              <w:rPr>
                <w:b/>
                <w:bCs/>
              </w:rPr>
              <w:t xml:space="preserve">Figures:</w:t>
            </w:r>
          </w:p>
          <w:p>
            <w:pPr>
              <w:pStyle w:val="SourceCode"/>
            </w:pPr>
            <w:r>
              <w:rPr>
                <w:rStyle w:val="CommentTok"/>
              </w:rPr>
              <w:t xml:space="preserve">#| label: fig-correlation</w:t>
            </w:r>
            <w:r>
              <w:br/>
            </w:r>
            <w:r>
              <w:rPr>
                <w:rStyle w:val="CommentTok"/>
              </w:rPr>
              <w:t xml:space="preserve">#| fig-cap: "Correlation matrix"</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fig</w:t>
            </w:r>
            <w:r>
              <w:rPr>
                <w:rStyle w:val="OperatorTok"/>
              </w:rPr>
              <w:t xml:space="preserve">-</w:t>
            </w:r>
            <w:r>
              <w:rPr>
                <w:rStyle w:val="NormalTok"/>
              </w:rPr>
              <w:t xml:space="preserve">correlation</w:t>
            </w:r>
          </w:p>
          <w:p>
            <w:pPr>
              <w:pStyle w:val="FirstParagraph"/>
            </w:pPr>
            <w:r>
              <w:rPr>
                <w:b/>
                <w:bCs/>
              </w:rPr>
              <w:t xml:space="preserve">Tables:</w:t>
            </w:r>
          </w:p>
          <w:p>
            <w:pPr>
              <w:pStyle w:val="SourceCode"/>
            </w:pPr>
            <w:r>
              <w:rPr>
                <w:rStyle w:val="CommentTok"/>
              </w:rPr>
              <w:t xml:space="preserve">#| label: tbl-summary</w:t>
            </w:r>
            <w:r>
              <w:br/>
            </w:r>
            <w:r>
              <w:rPr>
                <w:rStyle w:val="CommentTok"/>
              </w:rPr>
              <w:t xml:space="preserve">#| tbl-cap: "Summary statistics"</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tbl</w:t>
            </w:r>
            <w:r>
              <w:rPr>
                <w:rStyle w:val="OperatorTok"/>
              </w:rPr>
              <w:t xml:space="preserve">-</w:t>
            </w:r>
            <w:r>
              <w:rPr>
                <w:rStyle w:val="NormalTok"/>
              </w:rPr>
              <w:t xml:space="preserve">summary</w:t>
            </w:r>
          </w:p>
          <w:p>
            <w:pPr>
              <w:pStyle w:val="FirstParagraph"/>
            </w:pPr>
            <w:r>
              <w:rPr>
                <w:b/>
                <w:bCs/>
              </w:rPr>
              <w:t xml:space="preserve">Working examples in this template:</w:t>
            </w:r>
          </w:p>
          <w:p>
            <w:pPr>
              <w:pStyle w:val="Compact"/>
              <w:numPr>
                <w:ilvl w:val="0"/>
                <w:numId w:val="1002"/>
              </w:numPr>
            </w:pPr>
            <w:r>
              <w:t xml:space="preserve">“As discussed in</w:t>
            </w:r>
            <w:r>
              <w:t xml:space="preserve"> </w:t>
            </w:r>
            <w:hyperlink w:anchor="sec-appendix-plots">
              <w:r>
                <w:rPr>
                  <w:rStyle w:val="Hyperlink"/>
                </w:rPr>
                <w:t xml:space="preserve">Section 6.4.1</w:t>
              </w:r>
            </w:hyperlink>
            <w:r>
              <w:t xml:space="preserve">, we provide additional visualizations.”</w:t>
            </w:r>
          </w:p>
          <w:p>
            <w:pPr>
              <w:pStyle w:val="Compact"/>
              <w:numPr>
                <w:ilvl w:val="0"/>
                <w:numId w:val="1002"/>
              </w:numPr>
            </w:pPr>
            <w:r>
              <w:t xml:space="preserve">“See</w:t>
            </w:r>
            <w:r>
              <w:t xml:space="preserve"> </w:t>
            </w:r>
            <w:hyperlink w:anchor="fig-comparison">
              <w:r>
                <w:rPr>
                  <w:rStyle w:val="Hyperlink"/>
                </w:rPr>
                <w:t xml:space="preserve">Figure 1</w:t>
              </w:r>
            </w:hyperlink>
            <w:r>
              <w:t xml:space="preserve"> </w:t>
            </w:r>
            <w:r>
              <w:t xml:space="preserve">for the debugging workflow.”</w:t>
            </w:r>
          </w:p>
          <w:p>
            <w:pPr>
              <w:pStyle w:val="Compact"/>
              <w:numPr>
                <w:ilvl w:val="0"/>
                <w:numId w:val="1002"/>
              </w:numPr>
            </w:pPr>
            <w:r>
              <w:t xml:space="preserve">“Individual images like</w:t>
            </w:r>
            <w:r>
              <w:t xml:space="preserve"> </w:t>
            </w:r>
            <w:hyperlink w:anchor="fig-before">
              <w:r>
                <w:rPr>
                  <w:rStyle w:val="Hyperlink"/>
                </w:rPr>
                <w:t xml:space="preserve">Figure 1 (a)</w:t>
              </w:r>
            </w:hyperlink>
            <w:r>
              <w:t xml:space="preserve"> </w:t>
            </w:r>
            <w:r>
              <w:t xml:space="preserve">and</w:t>
            </w:r>
            <w:r>
              <w:t xml:space="preserve"> </w:t>
            </w:r>
            <w:hyperlink w:anchor="fig-after">
              <w:r>
                <w:rPr>
                  <w:rStyle w:val="Hyperlink"/>
                </w:rPr>
                <w:t xml:space="preserve">Figure 1 (b)</w:t>
              </w:r>
            </w:hyperlink>
            <w:r>
              <w:t xml:space="preserve"> </w:t>
            </w:r>
            <w:r>
              <w:t xml:space="preserve">can also be referenced.”</w:t>
            </w:r>
          </w:p>
          <w:p>
            <w:pPr>
              <w:pStyle w:val="FirstParagraph"/>
            </w:pPr>
            <w:r>
              <w:rPr>
                <w:b/>
                <w:bCs/>
              </w:rPr>
              <w:t xml:space="preserve">Note:</w:t>
            </w:r>
            <w:r>
              <w:t xml:space="preserve"> </w:t>
            </w:r>
            <w:r>
              <w:t xml:space="preserve">Use the same</w:t>
            </w:r>
            <w:r>
              <w:t xml:space="preserve"> </w:t>
            </w:r>
            <w:r>
              <w:rPr>
                <w:rStyle w:val="VerbatimChar"/>
              </w:rPr>
              <w:t xml:space="preserve">@label</w:t>
            </w:r>
            <w:r>
              <w:t xml:space="preserve"> </w:t>
            </w:r>
            <w:r>
              <w:t xml:space="preserve">syntax for figures, tables, and equations. Quarto automatically numbers them and creates clickable links.</w:t>
            </w:r>
          </w:p>
          <w:p>
            <w:pPr>
              <w:pStyle w:val="BodyText"/>
            </w:pPr>
            <w:pPr>
              <w:spacing w:after="16"/>
            </w:pPr>
            <w:r>
              <w:t xml:space="preserve">See</w:t>
            </w:r>
            <w:r>
              <w:t xml:space="preserve"> </w:t>
            </w:r>
            <w:hyperlink r:id="rId24">
              <w:r>
                <w:rPr>
                  <w:rStyle w:val="Hyperlink"/>
                </w:rPr>
                <w:t xml:space="preserve">Quarto Cross-References</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HTML Tabsets</w:t>
            </w:r>
          </w:p>
        </w:tc>
      </w:tr>
      <w:tr>
        <w:trPr>
          <w:cantSplit/>
        </w:trPr>
        <w:tc>
          <w:tcPr>
            <w:tcMar>
              <w:top w:w="108" w:type="dxa"/>
              <w:bottom w:w="108" w:type="dxa"/>
            </w:tcMar>
          </w:tcPr>
          <w:p>
            <w:pPr>
              <w:pStyle w:val="BodyText"/>
            </w:pPr>
            <w:pPr>
              <w:spacing w:before="16"/>
            </w:pPr>
            <w:r>
              <w:t xml:space="preserve">Organize content into tabs, which are like container boxes for the content (HTML only, and not PDF/DOCX). They allow you to:</w:t>
            </w:r>
          </w:p>
          <w:p>
            <w:pPr>
              <w:pStyle w:val="Compact"/>
              <w:numPr>
                <w:ilvl w:val="0"/>
                <w:numId w:val="1003"/>
              </w:numPr>
            </w:pPr>
            <w:r>
              <w:rPr>
                <w:b/>
                <w:bCs/>
              </w:rPr>
              <w:t xml:space="preserve">Organize multiple related visualizations</w:t>
            </w:r>
            <w:r>
              <w:t xml:space="preserve"> </w:t>
            </w:r>
            <w:r>
              <w:t xml:space="preserve">without cluttering the page</w:t>
            </w:r>
          </w:p>
          <w:p>
            <w:pPr>
              <w:pStyle w:val="Compact"/>
              <w:numPr>
                <w:ilvl w:val="0"/>
                <w:numId w:val="1003"/>
              </w:numPr>
            </w:pPr>
            <w:r>
              <w:rPr>
                <w:b/>
                <w:bCs/>
              </w:rPr>
              <w:t xml:space="preserve">Show different views</w:t>
            </w:r>
            <w:r>
              <w:t xml:space="preserve"> </w:t>
            </w:r>
            <w:r>
              <w:t xml:space="preserve">of the same data (distribution, summary, box plot)</w:t>
            </w:r>
          </w:p>
          <w:p>
            <w:pPr>
              <w:pStyle w:val="Compact"/>
              <w:numPr>
                <w:ilvl w:val="0"/>
                <w:numId w:val="1003"/>
              </w:numPr>
            </w:pPr>
            <w:r>
              <w:rPr>
                <w:b/>
                <w:bCs/>
              </w:rPr>
              <w:t xml:space="preserve">Compare approaches</w:t>
            </w:r>
            <w:r>
              <w:t xml:space="preserve"> </w:t>
            </w:r>
            <w:r>
              <w:t xml:space="preserve">side-by-side (e.g., different plotting libraries)</w:t>
            </w:r>
          </w:p>
          <w:p>
            <w:pPr>
              <w:pStyle w:val="SourceCode"/>
            </w:pPr>
            <w:r>
              <w:rPr>
                <w:rStyle w:val="NormalTok"/>
              </w:rPr>
              <w:t xml:space="preserve">::: {.panel-tabset}</w:t>
            </w:r>
            <w:r>
              <w:br/>
            </w:r>
            <w:r>
              <w:rPr>
                <w:rStyle w:val="FunctionTok"/>
              </w:rPr>
              <w:t xml:space="preserve">## Tab 1</w:t>
            </w:r>
            <w:r>
              <w:br/>
            </w:r>
            <w:r>
              <w:rPr>
                <w:rStyle w:val="NormalTok"/>
              </w:rPr>
              <w:t xml:space="preserve">Content</w:t>
            </w:r>
            <w:r>
              <w:br/>
            </w:r>
            <w:r>
              <w:rPr>
                <w:rStyle w:val="FunctionTok"/>
              </w:rPr>
              <w:t xml:space="preserve">## Tab 2</w:t>
            </w:r>
            <w:r>
              <w:br/>
            </w:r>
            <w:r>
              <w:rPr>
                <w:rStyle w:val="NormalTok"/>
              </w:rPr>
              <w:t xml:space="preserve">More content</w:t>
            </w:r>
            <w:r>
              <w:br/>
            </w:r>
            <w:r>
              <w:rPr>
                <w:rStyle w:val="FunctionTok"/>
              </w:rPr>
              <w:t xml:space="preserve">## Tab 3</w:t>
            </w:r>
            <w:r>
              <w:br/>
            </w:r>
            <w:r>
              <w:rPr>
                <w:rStyle w:val="NormalTok"/>
              </w:rPr>
              <w:t xml:space="preserve">Excessive amount of content</w:t>
            </w:r>
            <w:r>
              <w:br/>
            </w:r>
            <w:r>
              <w:rPr>
                <w:rStyle w:val="NormalTok"/>
              </w:rPr>
              <w:t xml:space="preserve">:::</w:t>
            </w:r>
          </w:p>
          <w:p>
            <w:pPr>
              <w:pStyle w:val="Heading2"/>
            </w:pPr>
            <w:r>
              <w:t xml:space="preserve">Tab 1</w:t>
            </w:r>
          </w:p>
          <w:p>
            <w:pPr>
              <w:pStyle w:val="FirstParagraph"/>
            </w:pPr>
            <w:r>
              <w:t xml:space="preserve">Content</w:t>
            </w:r>
          </w:p>
          <w:p>
            <w:pPr>
              <w:pStyle w:val="Heading2"/>
            </w:pPr>
            <w:r>
              <w:t xml:space="preserve">Tab 2</w:t>
            </w:r>
          </w:p>
          <w:p>
            <w:pPr>
              <w:pStyle w:val="FirstParagraph"/>
            </w:pPr>
            <w:r>
              <w:t xml:space="preserve">More content</w:t>
            </w:r>
          </w:p>
          <w:p>
            <w:pPr>
              <w:pStyle w:val="Heading2"/>
            </w:pPr>
            <w:r>
              <w:t xml:space="preserve">Tab 3</w:t>
            </w:r>
          </w:p>
          <w:p>
            <w:pPr>
              <w:pStyle w:val="FirstParagraph"/>
            </w:pPr>
            <w:r>
              <w:t xml:space="preserve">Excessive amount of content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 and Files</w:t>
            </w:r>
          </w:p>
        </w:tc>
      </w:tr>
      <w:tr>
        <w:trPr>
          <w:cantSplit/>
        </w:trPr>
        <w:tc>
          <w:tcPr>
            <w:tcMar>
              <w:top w:w="108" w:type="dxa"/>
              <w:bottom w:w="108" w:type="dxa"/>
            </w:tcMar>
          </w:tcPr>
          <w:p>
            <w:pPr>
              <w:pStyle w:val="BodyText"/>
            </w:pPr>
            <w:pPr>
              <w:spacing w:before="16"/>
            </w:pPr>
            <w:r>
              <w:rPr>
                <w:b/>
                <w:bCs/>
              </w:rPr>
              <w:t xml:space="preserve">Basic image syntax:</w:t>
            </w:r>
          </w:p>
          <w:p>
            <w:pPr>
              <w:pStyle w:val="SourceCode"/>
            </w:pPr>
            <w:r>
              <w:rPr>
                <w:rStyle w:val="AlertTok"/>
              </w:rPr>
              <w:t xml:space="preserve">![Caption](path/to/image.png)</w:t>
            </w:r>
          </w:p>
          <w:p>
            <w:pPr>
              <w:pStyle w:val="FirstParagraph"/>
            </w:pPr>
            <w:r>
              <w:rPr>
                <w:b/>
                <w:bCs/>
              </w:rPr>
              <w:t xml:space="preserve">With sizing and attributes:</w:t>
            </w:r>
          </w:p>
          <w:p>
            <w:pPr>
              <w:pStyle w:val="SourceCode"/>
            </w:pPr>
            <w:r>
              <w:rPr>
                <w:rStyle w:val="AlertTok"/>
              </w:rPr>
              <w:t xml:space="preserve">![My figure](images/plot.png)</w:t>
            </w:r>
            <w:r>
              <w:rPr>
                <w:rStyle w:val="NormalTok"/>
              </w:rPr>
              <w:t xml:space="preserve">{width=80% fig-align="center"}</w:t>
            </w:r>
          </w:p>
          <w:p>
            <w:pPr>
              <w:pStyle w:val="FirstParagraph"/>
            </w:pPr>
            <w:r>
              <w:rPr>
                <w:b/>
                <w:bCs/>
              </w:rPr>
              <w:t xml:space="preserve">Images with cross-references:</w:t>
            </w:r>
          </w:p>
          <w:p>
            <w:pPr>
              <w:pStyle w:val="SourceCode"/>
            </w:pPr>
            <w:r>
              <w:rPr>
                <w:rStyle w:val="AlertTok"/>
              </w:rPr>
              <w:t xml:space="preserve">![Distribution analysis](images/histogram.png)</w:t>
            </w:r>
            <w:r>
              <w:rPr>
                <w:rStyle w:val="NormalTok"/>
              </w:rPr>
              <w:t xml:space="preserve">{#fig-histogram}</w:t>
            </w:r>
            <w:r>
              <w:br/>
            </w:r>
            <w:r>
              <w:br/>
            </w:r>
            <w:r>
              <w:rPr>
                <w:rStyle w:val="NormalTok"/>
              </w:rPr>
              <w:t xml:space="preserve">As shown in @fig-histogram, the data is normally distributed.</w:t>
            </w:r>
          </w:p>
          <w:p>
            <w:pPr>
              <w:pStyle w:val="FirstParagraph"/>
            </w:pPr>
            <w:r>
              <w:rPr>
                <w:b/>
                <w:bCs/>
              </w:rPr>
              <w:t xml:space="preserve">Common image paths:</w:t>
            </w:r>
          </w:p>
          <w:p>
            <w:pPr>
              <w:pStyle w:val="Compact"/>
              <w:numPr>
                <w:ilvl w:val="0"/>
                <w:numId w:val="1004"/>
              </w:numPr>
            </w:pPr>
            <w:r>
              <w:t xml:space="preserve">Relative to current file:</w:t>
            </w:r>
            <w:r>
              <w:t xml:space="preserve"> </w:t>
            </w:r>
            <w:r>
              <w:rPr>
                <w:rStyle w:val="VerbatimChar"/>
              </w:rPr>
              <w:t xml:space="preserve">images/plot.png</w:t>
            </w:r>
          </w:p>
          <w:p>
            <w:pPr>
              <w:pStyle w:val="Compact"/>
              <w:numPr>
                <w:ilvl w:val="0"/>
                <w:numId w:val="1004"/>
              </w:numPr>
            </w:pPr>
            <w:r>
              <w:t xml:space="preserve">From project root:</w:t>
            </w:r>
            <w:r>
              <w:t xml:space="preserve"> </w:t>
            </w:r>
            <w:r>
              <w:rPr>
                <w:rStyle w:val="VerbatimChar"/>
              </w:rPr>
              <w:t xml:space="preserve">../data/plots/figure.png</w:t>
            </w:r>
          </w:p>
          <w:p>
            <w:pPr>
              <w:pStyle w:val="Compact"/>
              <w:numPr>
                <w:ilvl w:val="0"/>
                <w:numId w:val="1004"/>
              </w:numPr>
            </w:pPr>
            <w:r>
              <w:t xml:space="preserve">Absolute path:</w:t>
            </w:r>
            <w:r>
              <w:t xml:space="preserve"> </w:t>
            </w:r>
            <w:r>
              <w:rPr>
                <w:rStyle w:val="VerbatimChar"/>
              </w:rPr>
              <w:t xml:space="preserve">C:/Users/Name/project/images/plot.png</w:t>
            </w:r>
            <w:r>
              <w:t xml:space="preserve"> </w:t>
            </w:r>
            <w:r>
              <w:t xml:space="preserve">(avoid for reproducibility)</w:t>
            </w:r>
          </w:p>
          <w:p>
            <w:pPr>
              <w:pStyle w:val="FirstParagraph"/>
            </w:pPr>
            <w:r>
              <w:rPr>
                <w:b/>
                <w:bCs/>
              </w:rPr>
              <w:t xml:space="preserve">Supported formats:</w:t>
            </w:r>
            <w:r>
              <w:t xml:space="preserve"> </w:t>
            </w:r>
            <w:r>
              <w:t xml:space="preserve">PNG, JPG, SVG, PDF (PDF only in PDF output)</w:t>
            </w:r>
          </w:p>
          <w:p>
            <w:pPr>
              <w:pStyle w:val="BodyText"/>
            </w:pPr>
            <w:pPr>
              <w:spacing w:after="16"/>
            </w:pPr>
            <w:r>
              <w:rPr>
                <w:b/>
                <w:bCs/>
              </w:rPr>
              <w:t xml:space="preserve">Pro tip:</w:t>
            </w:r>
            <w:r>
              <w:t xml:space="preserve"> </w:t>
            </w:r>
            <w:r>
              <w:t xml:space="preserve">Store images in</w:t>
            </w:r>
            <w:r>
              <w:t xml:space="preserve"> </w:t>
            </w:r>
            <w:r>
              <w:rPr>
                <w:rStyle w:val="VerbatimChar"/>
              </w:rPr>
              <w:t xml:space="preserve">report/images/</w:t>
            </w:r>
            <w:r>
              <w:t xml:space="preserve"> </w:t>
            </w:r>
            <w:r>
              <w:t xml:space="preserve">folder for organization.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Markdown Text Formatting</w:t>
            </w:r>
          </w:p>
        </w:tc>
      </w:tr>
      <w:tr>
        <w:trPr>
          <w:cantSplit/>
        </w:trPr>
        <w:tc>
          <w:tcPr>
            <w:tcMar>
              <w:top w:w="108" w:type="dxa"/>
              <w:bottom w:w="108" w:type="dxa"/>
            </w:tcMar>
          </w:tcPr>
          <w:p>
            <w:pPr>
              <w:pStyle w:val="BodyText"/>
            </w:pPr>
            <w:pPr>
              <w:spacing w:before="16"/>
            </w:pPr>
            <w:r>
              <w:rPr>
                <w:b/>
                <w:bCs/>
              </w:rPr>
              <w:t xml:space="preserve">Basic formatting:</w:t>
            </w:r>
          </w:p>
          <w:p>
            <w:pPr>
              <w:pStyle w:val="Compact"/>
              <w:numPr>
                <w:ilvl w:val="0"/>
                <w:numId w:val="1005"/>
              </w:numPr>
            </w:pPr>
            <w:r>
              <w:rPr>
                <w:b/>
                <w:bCs/>
              </w:rPr>
              <w:t xml:space="preserve">Bold text:</w:t>
            </w:r>
            <w:r>
              <w:t xml:space="preserve"> </w:t>
            </w:r>
            <w:r>
              <w:rPr>
                <w:rStyle w:val="VerbatimChar"/>
              </w:rPr>
              <w:t xml:space="preserve">**bold**</w:t>
            </w:r>
            <w:r>
              <w:t xml:space="preserve"> </w:t>
            </w:r>
            <w:r>
              <w:t xml:space="preserve">or</w:t>
            </w:r>
            <w:r>
              <w:t xml:space="preserve"> </w:t>
            </w:r>
            <w:r>
              <w:rPr>
                <w:rStyle w:val="VerbatimChar"/>
              </w:rPr>
              <w:t xml:space="preserve">__bold__</w:t>
            </w:r>
            <w:r>
              <w:t xml:space="preserve"> </w:t>
            </w:r>
            <w:r>
              <w:t xml:space="preserve">→</w:t>
            </w:r>
            <w:r>
              <w:t xml:space="preserve"> </w:t>
            </w:r>
            <w:r>
              <w:rPr>
                <w:b/>
                <w:bCs/>
              </w:rPr>
              <w:t xml:space="preserve">bold</w:t>
            </w:r>
          </w:p>
          <w:p>
            <w:pPr>
              <w:pStyle w:val="Compact"/>
              <w:numPr>
                <w:ilvl w:val="0"/>
                <w:numId w:val="1005"/>
              </w:numPr>
            </w:pPr>
            <w:r>
              <w:rPr>
                <w:i/>
                <w:iCs/>
              </w:rPr>
              <w:t xml:space="preserve">Italic text:</w:t>
            </w:r>
            <w:r>
              <w:t xml:space="preserve"> </w:t>
            </w: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w:t>
            </w:r>
            <w:r>
              <w:t xml:space="preserve"> </w:t>
            </w:r>
            <w:r>
              <w:rPr>
                <w:i/>
                <w:iCs/>
              </w:rPr>
              <w:t xml:space="preserve">italic</w:t>
            </w:r>
          </w:p>
          <w:p>
            <w:pPr>
              <w:pStyle w:val="Compact"/>
              <w:numPr>
                <w:ilvl w:val="0"/>
                <w:numId w:val="1005"/>
              </w:numPr>
            </w:pPr>
            <w:r>
              <w:rPr>
                <w:b/>
                <w:bCs/>
                <w:i/>
                <w:iCs/>
              </w:rPr>
              <w:t xml:space="preserve">Bold and italic:</w:t>
            </w:r>
            <w:r>
              <w:t xml:space="preserve"> </w:t>
            </w:r>
            <w:r>
              <w:rPr>
                <w:rStyle w:val="VerbatimChar"/>
              </w:rPr>
              <w:t xml:space="preserve">***both***</w:t>
            </w:r>
            <w:r>
              <w:t xml:space="preserve"> </w:t>
            </w:r>
            <w:r>
              <w:t xml:space="preserve">→</w:t>
            </w:r>
            <w:r>
              <w:t xml:space="preserve"> </w:t>
            </w:r>
            <w:r>
              <w:rPr>
                <w:b/>
                <w:bCs/>
                <w:i/>
                <w:iCs/>
              </w:rPr>
              <w:t xml:space="preserve">both</w:t>
            </w:r>
          </w:p>
          <w:p>
            <w:pPr>
              <w:pStyle w:val="FirstParagraph"/>
            </w:pPr>
            <w:r>
              <w:rPr>
                <w:b/>
                <w:bCs/>
              </w:rPr>
              <w:t xml:space="preserve">Note:</w:t>
            </w:r>
            <w:r>
              <w:t xml:space="preserve"> </w:t>
            </w:r>
            <w:r>
              <w:t xml:space="preserve">Markdown doesn’t have built-in underline. For underline, use HTML:</w:t>
            </w:r>
          </w:p>
          <w:p>
            <w:pPr>
              <w:pStyle w:val="Compact"/>
              <w:numPr>
                <w:ilvl w:val="0"/>
                <w:numId w:val="1006"/>
              </w:numPr>
            </w:pPr>
            <w:r>
              <w:t xml:space="preserve">Underlined text:</w:t>
            </w:r>
            <w:r>
              <w:t xml:space="preserve"> </w:t>
            </w:r>
            <w:r>
              <w:rPr>
                <w:rStyle w:val="VerbatimChar"/>
              </w:rPr>
              <w:t xml:space="preserve">&lt;u&gt;underlined&lt;/u&gt;</w:t>
            </w:r>
            <w:r>
              <w:t xml:space="preserve"> </w:t>
            </w:r>
            <w:r>
              <w:t xml:space="preserve">→</w:t>
            </w:r>
            <w:r>
              <w:t xml:space="preserve"> </w:t>
            </w:r>
            <w:r>
              <w:t xml:space="preserve">underlined</w:t>
            </w:r>
          </w:p>
          <w:p>
            <w:pPr>
              <w:pStyle w:val="FirstParagraph"/>
            </w:pPr>
            <w:r>
              <w:rPr>
                <w:b/>
                <w:bCs/>
              </w:rPr>
              <w:t xml:space="preserve">Other useful formatting:</w:t>
            </w:r>
            <w:r>
              <w:t xml:space="preserve"> </w:t>
            </w:r>
            <w:r>
              <w:t xml:space="preserve">-</w:t>
            </w:r>
            <w:r>
              <w:t xml:space="preserve"> </w:t>
            </w:r>
            <w:r>
              <w:rPr>
                <w:rStyle w:val="VerbatimChar"/>
              </w:rPr>
              <w:t xml:space="preserve">Inline code:</w:t>
            </w:r>
            <w:r>
              <w:t xml:space="preserve"> </w:t>
            </w:r>
            <w:r>
              <w:t xml:space="preserve">`code` →</w:t>
            </w:r>
            <w:r>
              <w:t xml:space="preserve"> </w:t>
            </w:r>
            <w:r>
              <w:rPr>
                <w:rStyle w:val="VerbatimChar"/>
              </w:rPr>
              <w:t xml:space="preserve">code</w:t>
            </w:r>
            <w:r>
              <w:t xml:space="preserve"> </w:t>
            </w:r>
            <w:r>
              <w:t xml:space="preserve">- Superscript:</w:t>
            </w:r>
            <w:r>
              <w:t xml:space="preserve"> </w:t>
            </w:r>
            <w:r>
              <w:rPr>
                <w:rStyle w:val="VerbatimChar"/>
              </w:rPr>
              <w:t xml:space="preserve">X^2^</w:t>
            </w:r>
            <w:r>
              <w:t xml:space="preserve"> </w:t>
            </w:r>
            <w:r>
              <w:t xml:space="preserve">→ X</w:t>
            </w:r>
            <w:r>
              <w:rPr>
                <w:vertAlign w:val="superscript"/>
              </w:rPr>
              <w:t xml:space="preserve">2</w:t>
            </w:r>
            <w:r>
              <w:t xml:space="preserve"> </w:t>
            </w:r>
            <w:r>
              <w:t xml:space="preserve">- Subscript:</w:t>
            </w:r>
            <w:r>
              <w:t xml:space="preserve"> </w:t>
            </w:r>
            <w:r>
              <w:rPr>
                <w:rStyle w:val="VerbatimChar"/>
              </w:rPr>
              <w:t xml:space="preserve">H~2~O</w:t>
            </w:r>
            <w:r>
              <w:t xml:space="preserve"> </w:t>
            </w:r>
            <w:r>
              <w:t xml:space="preserve">→ H</w:t>
            </w:r>
            <w:r>
              <w:rPr>
                <w:vertAlign w:val="subscript"/>
              </w:rPr>
              <w:t xml:space="preserve">2</w:t>
            </w:r>
            <w:r>
              <w:t xml:space="preserve">O</w:t>
            </w:r>
            <w:r>
              <w:t xml:space="preserve"> </w:t>
            </w:r>
            <w:r>
              <w:t xml:space="preserve">-</w:t>
            </w:r>
            <w:r>
              <w:t xml:space="preserve"> </w:t>
            </w:r>
            <w:r>
              <w:rPr>
                <w:strike/>
              </w:rPr>
              <w:t xml:space="preserve">Strikethrough:</w:t>
            </w:r>
            <w:r>
              <w:t xml:space="preserve"> </w:t>
            </w:r>
            <w:r>
              <w:rPr>
                <w:rStyle w:val="VerbatimChar"/>
              </w:rPr>
              <w:t xml:space="preserve">~~text~~</w:t>
            </w:r>
            <w:r>
              <w:t xml:space="preserve"> </w:t>
            </w:r>
            <w:r>
              <w:t xml:space="preserve">→</w:t>
            </w:r>
            <w:r>
              <w:t xml:space="preserve"> </w:t>
            </w:r>
            <w:r>
              <w:rPr>
                <w:strike/>
              </w:rPr>
              <w:t xml:space="preserve">strikethrough</w:t>
            </w:r>
          </w:p>
          <w:p>
            <w:pPr>
              <w:pStyle w:val="BodyText"/>
            </w:pPr>
            <w:r>
              <w:rPr>
                <w:b/>
                <w:bCs/>
              </w:rPr>
              <w:t xml:space="preserve">Headings:</w:t>
            </w:r>
          </w:p>
          <w:p>
            <w:pPr>
              <w:pStyle w:val="SourceCode"/>
            </w:pPr>
            <w:r>
              <w:rPr>
                <w:rStyle w:val="FunctionTok"/>
              </w:rPr>
              <w:t xml:space="preserve"># Heading 1</w:t>
            </w:r>
            <w:r>
              <w:br/>
            </w:r>
            <w:r>
              <w:rPr>
                <w:rStyle w:val="FunctionTok"/>
              </w:rPr>
              <w:t xml:space="preserve">## Heading 2</w:t>
            </w:r>
            <w:r>
              <w:br/>
            </w:r>
            <w:r>
              <w:rPr>
                <w:rStyle w:val="FunctionTok"/>
              </w:rPr>
              <w:t xml:space="preserve">### Heading 3</w:t>
            </w:r>
            <w:r>
              <w:br/>
            </w:r>
            <w:r>
              <w:rPr>
                <w:rStyle w:val="FunctionTok"/>
              </w:rPr>
              <w:t xml:space="preserve">#### Heading 4</w:t>
            </w:r>
          </w:p>
          <w:p>
            <w:pPr>
              <w:pStyle w:val="FirstParagraph"/>
            </w:pPr>
            <w:r>
              <w:rPr>
                <w:b/>
                <w:bCs/>
              </w:rPr>
              <w:t xml:space="preserve">Lists:</w:t>
            </w:r>
          </w:p>
          <w:p>
            <w:pPr>
              <w:pStyle w:val="SourceCode"/>
            </w:pPr>
            <w:r>
              <w:rPr>
                <w:rStyle w:val="SpecialStringTok"/>
              </w:rPr>
              <w:t xml:space="preserve">- </w:t>
            </w:r>
            <w:r>
              <w:rPr>
                <w:rStyle w:val="NormalTok"/>
              </w:rPr>
              <w:t xml:space="preserve">Unordered item</w:t>
            </w:r>
            <w:r>
              <w:br/>
            </w:r>
            <w:r>
              <w:rPr>
                <w:rStyle w:val="SpecialStringTok"/>
              </w:rPr>
              <w:t xml:space="preserve">- </w:t>
            </w:r>
            <w:r>
              <w:rPr>
                <w:rStyle w:val="NormalTok"/>
              </w:rPr>
              <w:t xml:space="preserve">Another item</w:t>
            </w:r>
            <w:r>
              <w:br/>
            </w:r>
            <w:r>
              <w:rPr>
                <w:rStyle w:val="SpecialStringTok"/>
              </w:rPr>
              <w:t xml:space="preserve">  - </w:t>
            </w:r>
            <w:r>
              <w:rPr>
                <w:rStyle w:val="NormalTok"/>
              </w:rPr>
              <w:t xml:space="preserve">Nested item (2 spaces indent)</w:t>
            </w:r>
            <w:r>
              <w:br/>
            </w:r>
            <w:r>
              <w:br/>
            </w:r>
            <w:r>
              <w:rPr>
                <w:rStyle w:val="SpecialStringTok"/>
              </w:rPr>
              <w:t xml:space="preserve">1. </w:t>
            </w:r>
            <w:r>
              <w:rPr>
                <w:rStyle w:val="NormalTok"/>
              </w:rPr>
              <w:t xml:space="preserve">Ordered item</w:t>
            </w:r>
            <w:r>
              <w:br/>
            </w:r>
            <w:r>
              <w:rPr>
                <w:rStyle w:val="SpecialStringTok"/>
              </w:rPr>
              <w:t xml:space="preserve">2. </w:t>
            </w:r>
            <w:r>
              <w:rPr>
                <w:rStyle w:val="NormalTok"/>
              </w:rPr>
              <w:t xml:space="preserve">Second item</w:t>
            </w:r>
            <w:r>
              <w:br/>
            </w:r>
            <w:r>
              <w:rPr>
                <w:rStyle w:val="SpecialStringTok"/>
              </w:rPr>
              <w:t xml:space="preserve">   1. </w:t>
            </w:r>
            <w:r>
              <w:rPr>
                <w:rStyle w:val="NormalTok"/>
              </w:rPr>
              <w:t xml:space="preserve">Nested (3 spaces indent)</w:t>
            </w:r>
          </w:p>
          <w:p>
            <w:pPr>
              <w:pStyle w:val="FirstParagraph"/>
            </w:pPr>
            <w:r>
              <w:rPr>
                <w:b/>
                <w:bCs/>
              </w:rPr>
              <w:t xml:space="preserve">Links:</w:t>
            </w:r>
          </w:p>
          <w:p>
            <w:pPr>
              <w:pStyle w:val="SourceCode"/>
            </w:pPr>
            <w:r>
              <w:rPr>
                <w:rStyle w:val="CommentTok"/>
              </w:rPr>
              <w:t xml:space="preserve">[</w:t>
            </w:r>
            <w:r>
              <w:rPr>
                <w:rStyle w:val="OtherTok"/>
              </w:rPr>
              <w:t xml:space="preserve">Link text</w:t>
            </w:r>
            <w:r>
              <w:rPr>
                <w:rStyle w:val="CommentTok"/>
              </w:rPr>
              <w:t xml:space="preserve">](https://url.com)</w:t>
            </w:r>
            <w:r>
              <w:br/>
            </w:r>
            <w:r>
              <w:rPr>
                <w:rStyle w:val="CommentTok"/>
              </w:rPr>
              <w:t xml:space="preserve">[</w:t>
            </w:r>
            <w:r>
              <w:rPr>
                <w:rStyle w:val="OtherTok"/>
              </w:rPr>
              <w:t xml:space="preserve">Link with title</w:t>
            </w:r>
            <w:r>
              <w:rPr>
                <w:rStyle w:val="CommentTok"/>
              </w:rPr>
              <w:t xml:space="preserve">](https://url.com "Hover text")</w:t>
            </w:r>
          </w:p>
          <w:p>
            <w:pPr>
              <w:pStyle w:val="FirstParagraph"/>
            </w:pPr>
            <w:r>
              <w:rPr>
                <w:b/>
                <w:bCs/>
              </w:rPr>
              <w:t xml:space="preserve">Blockquotes:</w:t>
            </w:r>
          </w:p>
          <w:p>
            <w:pPr>
              <w:pStyle w:val="SourceCode"/>
            </w:pPr>
            <w:r>
              <w:rPr>
                <w:rStyle w:val="AttributeTok"/>
              </w:rPr>
              <w:t xml:space="preserve">&gt; This is a quote</w:t>
            </w:r>
            <w:r>
              <w:br/>
            </w:r>
            <w:r>
              <w:rPr>
                <w:rStyle w:val="AttributeTok"/>
              </w:rPr>
              <w:t xml:space="preserve">&gt; It can span multiple lines</w:t>
            </w:r>
          </w:p>
          <w:p>
            <w:pPr>
              <w:pStyle w:val="FirstParagraph"/>
            </w:pPr>
            <w:pPr>
              <w:spacing w:after="16"/>
            </w:pPr>
            <w:r>
              <w:t xml:space="preserve">See</w:t>
            </w:r>
            <w:r>
              <w:t xml:space="preserve"> </w:t>
            </w:r>
            <w:hyperlink r:id="rId31">
              <w:r>
                <w:rPr>
                  <w:rStyle w:val="Hyperlink"/>
                </w:rPr>
                <w:t xml:space="preserve">Markdown Guide</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w:t>
            </w:r>
          </w:p>
        </w:tc>
      </w:tr>
      <w:tr>
        <w:trPr>
          <w:cantSplit/>
        </w:trPr>
        <w:tc>
          <w:tcPr>
            <w:tcMar>
              <w:top w:w="108" w:type="dxa"/>
              <w:bottom w:w="108" w:type="dxa"/>
            </w:tcMar>
          </w:tcPr>
          <w:p>
            <w:pPr>
              <w:pStyle w:val="BodyText"/>
            </w:pPr>
            <w:pPr>
              <w:spacing w:before="16"/>
            </w:pPr>
            <w:r>
              <w:t xml:space="preserve">Store external figures (diagrams, charts, screenshots) in</w:t>
            </w:r>
            <w:r>
              <w:t xml:space="preserve"> </w:t>
            </w:r>
            <w:r>
              <w:rPr>
                <w:rStyle w:val="VerbatimChar"/>
              </w:rPr>
              <w:t xml:space="preserve">report/images/</w:t>
            </w:r>
            <w:r>
              <w:t xml:space="preserve"> </w:t>
            </w:r>
            <w:r>
              <w:t xml:space="preserve">and include them in your report.</w:t>
            </w:r>
          </w:p>
          <w:p>
            <w:pPr>
              <w:pStyle w:val="BodyText"/>
            </w:pPr>
            <w:r>
              <w:rPr>
                <w:b/>
                <w:bCs/>
              </w:rPr>
              <w:t xml:space="preserve">Basic syntax:</w:t>
            </w:r>
          </w:p>
          <w:p>
            <w:pPr>
              <w:pStyle w:val="SourceCode"/>
            </w:pPr>
            <w:r>
              <w:rPr>
                <w:rStyle w:val="AlertTok"/>
              </w:rPr>
              <w:t xml:space="preserve">![Caption](images/your-image.png)</w:t>
            </w:r>
            <w:r>
              <w:rPr>
                <w:rStyle w:val="NormalTok"/>
              </w:rPr>
              <w:t xml:space="preserve">{#fig-label width=70% fig-align="center"}</w:t>
            </w:r>
          </w:p>
          <w:p>
            <w:pPr>
              <w:pStyle w:val="FirstParagraph"/>
            </w:pPr>
            <w:r>
              <w:rPr>
                <w:b/>
                <w:bCs/>
              </w:rPr>
              <w:t xml:space="preserve">Example - Multiple images side by side with cross-references:</w:t>
            </w:r>
          </w:p>
          <w:p>
            <w:pPr>
              <w:pStyle w:val="SourceCode"/>
            </w:pPr>
            <w:r>
              <w:rPr>
                <w:rStyle w:val="NormalTok"/>
              </w:rPr>
              <w:t xml:space="preserve">::: {#fig-comparison layout-ncol=2 layout-valign="bottom"}</w:t>
            </w:r>
            <w:r>
              <w:br/>
            </w:r>
            <w:r>
              <w:br/>
            </w:r>
            <w:r>
              <w:rPr>
                <w:rStyle w:val="AlertTok"/>
              </w:rPr>
              <w:t xml:space="preserve">![Before debugging](images/meme1.jpg)</w:t>
            </w:r>
            <w:r>
              <w:rPr>
                <w:rStyle w:val="NormalTok"/>
              </w:rPr>
              <w:t xml:space="preserve">{#fig-before width=100%}</w:t>
            </w:r>
            <w:r>
              <w:br/>
            </w:r>
            <w:r>
              <w:br/>
            </w:r>
            <w:r>
              <w:rPr>
                <w:rStyle w:val="AlertTok"/>
              </w:rPr>
              <w:t xml:space="preserve">![After debugging](images/meme2.jpeg)</w:t>
            </w:r>
            <w:r>
              <w:rPr>
                <w:rStyle w:val="NormalTok"/>
              </w:rPr>
              <w:t xml:space="preserve">{#fig-after width=100%}</w:t>
            </w:r>
            <w:r>
              <w:br/>
            </w:r>
            <w:r>
              <w:br/>
            </w:r>
            <w:r>
              <w:rPr>
                <w:rStyle w:val="NormalTok"/>
              </w:rPr>
              <w:t xml:space="preserve">The emotional journey of a data scientist debugging their code</w:t>
            </w:r>
            <w:r>
              <w:br/>
            </w:r>
            <w:r>
              <w:rPr>
                <w:rStyle w:val="NormalTok"/>
              </w:rPr>
              <w:t xml:space="preserve">:::</w:t>
            </w:r>
          </w:p>
          <w:bookmarkStart w:id="43"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before"/>
                      <w:p>
                        <w:pPr>
                          <w:pStyle w:val="Compact"/>
                          <w:jc w:val="center"/>
                          <w:jc w:val="left"/>
                        </w:pPr>
                        <w:r>
                          <w:drawing>
                            <wp:inline>
                              <wp:extent cx="2971800" cy="3076335"/>
                              <wp:effectExtent b="0" l="0" r="0" t="0"/>
                              <wp:docPr descr="" title="" id="36" name="Picture"/>
                              <a:graphic>
                                <a:graphicData uri="http://schemas.openxmlformats.org/drawingml/2006/picture">
                                  <pic:pic>
                                    <pic:nvPicPr>
                                      <pic:cNvPr descr="images/meme1.jpg" id="37" name="Picture"/>
                                      <pic:cNvPicPr>
                                        <a:picLocks noChangeArrowheads="1" noChangeAspect="1"/>
                                      </pic:cNvPicPr>
                                    </pic:nvPicPr>
                                    <pic:blipFill>
                                      <a:blip r:embed="rId35"/>
                                      <a:stretch>
                                        <a:fillRect/>
                                      </a:stretch>
                                    </pic:blipFill>
                                    <pic:spPr bwMode="auto">
                                      <a:xfrm>
                                        <a:off x="0" y="0"/>
                                        <a:ext cx="2971800" cy="307633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after"/>
                      <w:p>
                        <w:pPr>
                          <w:pStyle w:val="Compact"/>
                          <w:jc w:val="center"/>
                          <w:jc w:val="left"/>
                        </w:pPr>
                        <w:r>
                          <w:drawing>
                            <wp:inline>
                              <wp:extent cx="2971800" cy="2333598"/>
                              <wp:effectExtent b="0" l="0" r="0" t="0"/>
                              <wp:docPr descr="" title="" id="40" name="Picture"/>
                              <a:graphic>
                                <a:graphicData uri="http://schemas.openxmlformats.org/drawingml/2006/picture">
                                  <pic:pic>
                                    <pic:nvPicPr>
                                      <pic:cNvPr descr="images/meme2.jpeg" id="41" name="Picture"/>
                                      <pic:cNvPicPr>
                                        <a:picLocks noChangeArrowheads="1" noChangeAspect="1"/>
                                      </pic:cNvPicPr>
                                    </pic:nvPicPr>
                                    <pic:blipFill>
                                      <a:blip r:embed="rId39"/>
                                      <a:stretch>
                                        <a:fillRect/>
                                      </a:stretch>
                                    </pic:blipFill>
                                    <pic:spPr bwMode="auto">
                                      <a:xfrm>
                                        <a:off x="0" y="0"/>
                                        <a:ext cx="2971800" cy="233359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42"/>
                    </w:tc>
                  </w:tr>
                </w:tbl>
                <w:p/>
              </w:tc>
            </w:tr>
          </w:tbl>
          <w:p>
            <w:pPr>
              <w:pStyle w:val="BodyText"/>
            </w:pPr>
            <w:pPr>
              <w:spacing w:before="200"/>
              <w:pStyle w:val="ImageCaption"/>
            </w:pPr>
            <w:r>
              <w:t xml:space="preserve">Figure 1: The emotional journey of a data scientist debugging their code</w:t>
            </w:r>
          </w:p>
          <w:bookmarkEnd w:id="43"/>
          <w:p>
            <w:pPr>
              <w:pStyle w:val="BodyText"/>
            </w:pPr>
            <w:r>
              <w:rPr>
                <w:b/>
                <w:bCs/>
              </w:rPr>
              <w:t xml:space="preserve">Key options:</w:t>
            </w:r>
          </w:p>
          <w:p>
            <w:pPr>
              <w:pStyle w:val="Compact"/>
              <w:numPr>
                <w:ilvl w:val="0"/>
                <w:numId w:val="1007"/>
              </w:numPr>
            </w:pPr>
            <w:r>
              <w:rPr>
                <w:rStyle w:val="VerbatimChar"/>
              </w:rPr>
              <w:t xml:space="preserve">layout-ncol=2</w:t>
            </w:r>
            <w:r>
              <w:t xml:space="preserve"> </w:t>
            </w:r>
            <w:r>
              <w:t xml:space="preserve">- Two columns (each 50% width)</w:t>
            </w:r>
          </w:p>
          <w:p>
            <w:pPr>
              <w:pStyle w:val="Compact"/>
              <w:numPr>
                <w:ilvl w:val="0"/>
                <w:numId w:val="1007"/>
              </w:numPr>
            </w:pPr>
            <w:r>
              <w:rPr>
                <w:rStyle w:val="VerbatimChar"/>
              </w:rPr>
              <w:t xml:space="preserve">layout-valign="bottom"</w:t>
            </w:r>
            <w:r>
              <w:t xml:space="preserve"> </w:t>
            </w:r>
            <w:r>
              <w:t xml:space="preserve">- Align by bottom edge</w:t>
            </w:r>
          </w:p>
          <w:p>
            <w:pPr>
              <w:pStyle w:val="Compact"/>
              <w:numPr>
                <w:ilvl w:val="0"/>
                <w:numId w:val="1007"/>
              </w:numPr>
            </w:pPr>
            <w:r>
              <w:rPr>
                <w:rStyle w:val="VerbatimChar"/>
              </w:rPr>
              <w:t xml:space="preserve">width=100%</w:t>
            </w:r>
            <w:r>
              <w:t xml:space="preserve"> </w:t>
            </w:r>
            <w:r>
              <w:t xml:space="preserve">- Fill entire column</w:t>
            </w:r>
          </w:p>
          <w:p>
            <w:pPr>
              <w:pStyle w:val="Compact"/>
              <w:numPr>
                <w:ilvl w:val="0"/>
                <w:numId w:val="1007"/>
              </w:numPr>
            </w:pPr>
            <w:r>
              <w:rPr>
                <w:rStyle w:val="VerbatimChar"/>
              </w:rPr>
              <w:t xml:space="preserve">fig-align="center"</w:t>
            </w:r>
            <w:r>
              <w:t xml:space="preserve"> </w:t>
            </w:r>
            <w:r>
              <w:t xml:space="preserve">- Center single images</w:t>
            </w:r>
          </w:p>
          <w:p>
            <w:pPr>
              <w:pStyle w:val="FirstParagraph"/>
            </w:pPr>
            <w:r>
              <w:rPr>
                <w:b/>
                <w:bCs/>
              </w:rPr>
              <w:t xml:space="preserve">Supported formats:</w:t>
            </w:r>
          </w:p>
          <w:p>
            <w:pPr>
              <w:pStyle w:val="Compact"/>
              <w:numPr>
                <w:ilvl w:val="0"/>
                <w:numId w:val="1008"/>
              </w:numPr>
            </w:pPr>
            <w:r>
              <w:rPr>
                <w:b/>
                <w:bCs/>
              </w:rPr>
              <w:t xml:space="preserve">All outputs:</w:t>
            </w:r>
            <w:r>
              <w:t xml:space="preserve"> </w:t>
            </w:r>
            <w:r>
              <w:t xml:space="preserve">PNG, JPG/JPEG</w:t>
            </w:r>
          </w:p>
          <w:p>
            <w:pPr>
              <w:pStyle w:val="Compact"/>
              <w:numPr>
                <w:ilvl w:val="0"/>
                <w:numId w:val="1008"/>
              </w:numPr>
            </w:pPr>
            <w:r>
              <w:rPr>
                <w:b/>
                <w:bCs/>
              </w:rPr>
              <w:t xml:space="preserve">HTML only:</w:t>
            </w:r>
            <w:r>
              <w:t xml:space="preserve"> </w:t>
            </w:r>
            <w:r>
              <w:t xml:space="preserve">WEBP, SVG, GIF</w:t>
            </w:r>
          </w:p>
          <w:p>
            <w:pPr>
              <w:pStyle w:val="Compact"/>
              <w:numPr>
                <w:ilvl w:val="0"/>
                <w:numId w:val="1008"/>
              </w:numPr>
            </w:pPr>
            <w:r>
              <w:rPr>
                <w:b/>
                <w:bCs/>
              </w:rPr>
              <w:t xml:space="preserve">PDF only:</w:t>
            </w:r>
            <w:r>
              <w:t xml:space="preserve"> </w:t>
            </w:r>
            <w:r>
              <w:t xml:space="preserve">PDF images</w:t>
            </w:r>
          </w:p>
          <w:p>
            <w:pPr>
              <w:pStyle w:val="FirstParagraph"/>
            </w:pPr>
            <w:pPr>
              <w:spacing w:after="16"/>
            </w:pPr>
            <w:r>
              <w:t xml:space="preserve">See the</w:t>
            </w:r>
            <w:r>
              <w:t xml:space="preserve"> </w:t>
            </w:r>
            <w:hyperlink r:id="rId44">
              <w:r>
                <w:rPr>
                  <w:rStyle w:val="Hyperlink"/>
                </w:rPr>
                <w:t xml:space="preserve">Quarto Figures documentation</w:t>
              </w:r>
            </w:hyperlink>
            <w:r>
              <w:t xml:space="preserve"> </w:t>
            </w:r>
            <w:r>
              <w:t xml:space="preserve">for advanced layouts, subcaptions, and complex figure arrangements.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Controlling Python (Code) Generated Figure Size</w:t>
            </w:r>
          </w:p>
        </w:tc>
      </w:tr>
      <w:tr>
        <w:trPr>
          <w:cantSplit/>
        </w:trPr>
        <w:tc>
          <w:tcPr>
            <w:tcMar>
              <w:top w:w="108" w:type="dxa"/>
              <w:bottom w:w="108" w:type="dxa"/>
            </w:tcMar>
          </w:tcPr>
          <w:p>
            <w:pPr>
              <w:pStyle w:val="BodyText"/>
            </w:pPr>
            <w:pPr>
              <w:spacing w:before="16"/>
            </w:pPr>
            <w:r>
              <w:rPr>
                <w:b/>
                <w:bCs/>
              </w:rPr>
              <w:t xml:space="preserve">For Python matplotlib plots</w:t>
            </w:r>
            <w:r>
              <w:t xml:space="preserve">, figure size is controlled</w:t>
            </w:r>
            <w:r>
              <w:t xml:space="preserve"> </w:t>
            </w:r>
            <w:r>
              <w:rPr>
                <w:b/>
                <w:bCs/>
              </w:rPr>
              <w:t xml:space="preserve">in your Python code</w:t>
            </w:r>
            <w:r>
              <w:t xml:space="preserve"> </w:t>
            </w:r>
            <w:r>
              <w:t xml:space="preserve">using</w:t>
            </w:r>
            <w:r>
              <w:t xml:space="preserve"> </w:t>
            </w:r>
            <w:r>
              <w:rPr>
                <w:rStyle w:val="VerbatimChar"/>
              </w:rPr>
              <w:t xml:space="preserve">figsize</w:t>
            </w:r>
            <w:r>
              <w:t xml:space="preserve">:</w:t>
            </w:r>
          </w:p>
          <w:p>
            <w:pPr>
              <w:pStyle w:val="SourceCode"/>
            </w:pPr>
            <w:r>
              <w:rPr>
                <w:rStyle w:val="CommentTok"/>
              </w:rPr>
              <w:t xml:space="preserve"># Standard readable size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  </w:t>
            </w:r>
            <w:r>
              <w:rPr>
                <w:rStyle w:val="CommentTok"/>
              </w:rPr>
              <w:t xml:space="preserve"># width, height in inches</w:t>
            </w:r>
            <w:r>
              <w:br/>
            </w:r>
            <w:r>
              <w:br/>
            </w:r>
            <w:r>
              <w:rPr>
                <w:rStyle w:val="CommentTok"/>
              </w:rPr>
              <w:t xml:space="preserve"># Smaller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4</w:t>
            </w:r>
            <w:r>
              <w:rPr>
                <w:rStyle w:val="NormalTok"/>
              </w:rPr>
              <w:t xml:space="preserve">))</w:t>
            </w:r>
            <w:r>
              <w:br/>
            </w:r>
            <w:r>
              <w:br/>
            </w:r>
            <w:r>
              <w:rPr>
                <w:rStyle w:val="CommentTok"/>
              </w:rPr>
              <w:t xml:space="preserve"># Larger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p>
          <w:p>
            <w:pPr>
              <w:pStyle w:val="FirstParagraph"/>
            </w:pPr>
            <w:r>
              <w:rPr>
                <w:b/>
                <w:bCs/>
              </w:rPr>
              <w:t xml:space="preserve">Why</w:t>
            </w:r>
            <w:r>
              <w:rPr>
                <w:b/>
                <w:bCs/>
              </w:rPr>
              <w:t xml:space="preserve"> </w:t>
            </w:r>
            <w:r>
              <w:rPr>
                <w:rStyle w:val="VerbatimChar"/>
                <w:b/>
                <w:bCs/>
              </w:rPr>
              <w:t xml:space="preserve">figsize</w:t>
            </w:r>
            <w:r>
              <w:rPr>
                <w:b/>
                <w:bCs/>
              </w:rPr>
              <w:t xml:space="preserve"> </w:t>
            </w:r>
            <w:r>
              <w:rPr>
                <w:b/>
                <w:bCs/>
              </w:rPr>
              <w:t xml:space="preserve">in code?</w:t>
            </w:r>
            <w:r>
              <w:t xml:space="preserve"> </w:t>
            </w:r>
            <w:r>
              <w:t xml:space="preserve">When you use</w:t>
            </w:r>
            <w:r>
              <w:t xml:space="preserve"> </w:t>
            </w:r>
            <w:r>
              <w:rPr>
                <w:rStyle w:val="VerbatimChar"/>
              </w:rPr>
              <w:t xml:space="preserve">plt.subplots(figsize=...)</w:t>
            </w:r>
            <w:r>
              <w:t xml:space="preserve"> </w:t>
            </w:r>
            <w:r>
              <w:t xml:space="preserve">or</w:t>
            </w:r>
            <w:r>
              <w:t xml:space="preserve"> </w:t>
            </w:r>
            <w:r>
              <w:rPr>
                <w:rStyle w:val="VerbatimChar"/>
              </w:rPr>
              <w:t xml:space="preserve">plt.figure(figsize=...)</w:t>
            </w:r>
            <w:r>
              <w:t xml:space="preserve">, matplotlib creates the image at that exact size. Quarto chunk options like</w:t>
            </w:r>
            <w:r>
              <w:t xml:space="preserve"> </w:t>
            </w:r>
            <w:r>
              <w:rPr>
                <w:rStyle w:val="VerbatimChar"/>
              </w:rPr>
              <w:t xml:space="preserve">#| fig-width:</w:t>
            </w:r>
            <w:r>
              <w:t xml:space="preserve"> </w:t>
            </w:r>
            <w:r>
              <w:t xml:space="preserve">and</w:t>
            </w:r>
            <w:r>
              <w:t xml:space="preserve"> </w:t>
            </w:r>
            <w:r>
              <w:rPr>
                <w:rStyle w:val="VerbatimChar"/>
              </w:rPr>
              <w:t xml:space="preserve">#| fig-height:</w:t>
            </w:r>
            <w:r>
              <w:t xml:space="preserve"> </w:t>
            </w:r>
            <w:r>
              <w:t xml:space="preserve">are ignored because the figure size is already determined by your Python code.</w:t>
            </w:r>
          </w:p>
          <w:p>
            <w:pPr>
              <w:pStyle w:val="BodyText"/>
            </w:pPr>
            <w:r>
              <w:rPr>
                <w:b/>
                <w:bCs/>
              </w:rPr>
              <w:t xml:space="preserve">To resize figures after creation:</w:t>
            </w:r>
          </w:p>
          <w:p>
            <w:pPr>
              <w:pStyle w:val="BodyText"/>
            </w:pPr>
            <w:r>
              <w:t xml:space="preserve">Use the</w:t>
            </w:r>
            <w:r>
              <w:t xml:space="preserve"> </w:t>
            </w:r>
            <w:r>
              <w:rPr>
                <w:rStyle w:val="VerbatimChar"/>
              </w:rPr>
              <w:t xml:space="preserve">width</w:t>
            </w:r>
            <w:r>
              <w:t xml:space="preserve"> </w:t>
            </w:r>
            <w:r>
              <w:t xml:space="preserve">attribute in curly braces (works for any image):</w:t>
            </w:r>
          </w:p>
          <w:p>
            <w:pPr>
              <w:pStyle w:val="SourceCode"/>
            </w:pPr>
            <w:r>
              <w:rPr>
                <w:rStyle w:val="AlertTok"/>
              </w:rPr>
              <w:t xml:space="preserve">![My plot](path/to/plot.png)</w:t>
            </w:r>
            <w:r>
              <w:rPr>
                <w:rStyle w:val="NormalTok"/>
              </w:rPr>
              <w:t xml:space="preserve">{width=70%}</w:t>
            </w:r>
          </w:p>
          <w:p>
            <w:pPr>
              <w:pStyle w:val="FirstParagraph"/>
            </w:pPr>
            <w:r>
              <w:t xml:space="preserve">Or in the chunk options (only for formats without explicit</w:t>
            </w:r>
            <w:r>
              <w:t xml:space="preserve"> </w:t>
            </w:r>
            <w:r>
              <w:rPr>
                <w:rStyle w:val="VerbatimChar"/>
              </w:rPr>
              <w:t xml:space="preserve">figsize</w:t>
            </w:r>
            <w:r>
              <w:t xml:space="preserve">):</w:t>
            </w:r>
          </w:p>
          <w:p>
            <w:pPr>
              <w:pStyle w:val="SourceCode"/>
            </w:pPr>
            <w:r>
              <w:rPr>
                <w:rStyle w:val="CommentTok"/>
              </w:rPr>
              <w:t xml:space="preserve">#| fig-width: 7</w:t>
            </w:r>
            <w:r>
              <w:br/>
            </w:r>
            <w:r>
              <w:rPr>
                <w:rStyle w:val="CommentTok"/>
              </w:rPr>
              <w:t xml:space="preserve">#| fig-height: 5</w:t>
            </w:r>
          </w:p>
          <w:p>
            <w:pPr>
              <w:pStyle w:val="FirstParagraph"/>
            </w:pPr>
            <w:r>
              <w:rPr>
                <w:b/>
                <w:bCs/>
              </w:rPr>
              <w:t xml:space="preserve">Recommended workflow:</w:t>
            </w:r>
          </w:p>
          <w:p>
            <w:pPr>
              <w:pStyle w:val="Compact"/>
              <w:numPr>
                <w:ilvl w:val="0"/>
                <w:numId w:val="1009"/>
              </w:numPr>
            </w:pPr>
            <w:r>
              <w:t xml:space="preserve">Set</w:t>
            </w:r>
            <w:r>
              <w:t xml:space="preserve"> </w:t>
            </w:r>
            <w:r>
              <w:rPr>
                <w:rStyle w:val="VerbatimChar"/>
              </w:rPr>
              <w:t xml:space="preserve">figsize</w:t>
            </w:r>
            <w:r>
              <w:t xml:space="preserve"> </w:t>
            </w:r>
            <w:r>
              <w:t xml:space="preserve">in your Python code to a readable default (e.g.,</w:t>
            </w:r>
            <w:r>
              <w:t xml:space="preserve"> </w:t>
            </w:r>
            <w:r>
              <w:rPr>
                <w:rStyle w:val="VerbatimChar"/>
              </w:rPr>
              <w:t xml:space="preserve">figsize=(8, 5)</w:t>
            </w:r>
            <w:r>
              <w:t xml:space="preserve">)</w:t>
            </w:r>
          </w:p>
          <w:p>
            <w:pPr>
              <w:pStyle w:val="Compact"/>
              <w:numPr>
                <w:ilvl w:val="0"/>
                <w:numId w:val="1009"/>
              </w:numPr>
            </w:pPr>
            <w:r>
              <w:t xml:space="preserve">If the figure appears too large/small in your report, adjust the</w:t>
            </w:r>
            <w:r>
              <w:t xml:space="preserve"> </w:t>
            </w:r>
            <w:r>
              <w:rPr>
                <w:rStyle w:val="VerbatimChar"/>
              </w:rPr>
              <w:t xml:space="preserve">figsize</w:t>
            </w:r>
            <w:r>
              <w:t xml:space="preserve"> </w:t>
            </w:r>
            <w:r>
              <w:t xml:space="preserve">values proportionally</w:t>
            </w:r>
          </w:p>
          <w:p>
            <w:pPr>
              <w:pStyle w:val="Compact"/>
              <w:numPr>
                <w:ilvl w:val="0"/>
                <w:numId w:val="1009"/>
              </w:numPr>
            </w:pPr>
            <w:r>
              <w:t xml:space="preserve">Keep aspect ratio consistent: divide/multiply both dimensions by the same factor</w:t>
            </w:r>
          </w:p>
          <w:p>
            <w:pPr>
              <w:pStyle w:val="FirstParagraph"/>
            </w:pPr>
            <w:r>
              <w:rPr>
                <w:b/>
                <w:bCs/>
              </w:rPr>
              <w:t xml:space="preserve">Good default sizes:</w:t>
            </w:r>
          </w:p>
          <w:p>
            <w:pPr>
              <w:pStyle w:val="Compact"/>
              <w:numPr>
                <w:ilvl w:val="0"/>
                <w:numId w:val="1010"/>
              </w:numPr>
            </w:pPr>
            <w:r>
              <w:t xml:space="preserve">Small plot:</w:t>
            </w:r>
            <w:r>
              <w:t xml:space="preserve"> </w:t>
            </w:r>
            <w:r>
              <w:rPr>
                <w:rStyle w:val="VerbatimChar"/>
              </w:rPr>
              <w:t xml:space="preserve">figsize=(6, 4)</w:t>
            </w:r>
          </w:p>
          <w:p>
            <w:pPr>
              <w:pStyle w:val="Compact"/>
              <w:numPr>
                <w:ilvl w:val="0"/>
                <w:numId w:val="1010"/>
              </w:numPr>
            </w:pPr>
            <w:r>
              <w:t xml:space="preserve">Standard plot:</w:t>
            </w:r>
            <w:r>
              <w:t xml:space="preserve"> </w:t>
            </w:r>
            <w:r>
              <w:rPr>
                <w:rStyle w:val="VerbatimChar"/>
              </w:rPr>
              <w:t xml:space="preserve">figsize=(8, 5)</w:t>
            </w:r>
          </w:p>
          <w:p>
            <w:pPr>
              <w:pStyle w:val="Compact"/>
              <w:numPr>
                <w:ilvl w:val="0"/>
                <w:numId w:val="1010"/>
              </w:numPr>
            </w:pPr>
            <w:r>
              <w:t xml:space="preserve">Large plot:</w:t>
            </w:r>
            <w:r>
              <w:t xml:space="preserve"> </w:t>
            </w:r>
            <w:r>
              <w:rPr>
                <w:rStyle w:val="VerbatimChar"/>
              </w:rPr>
              <w:t xml:space="preserve">figsize=(10, 6)</w:t>
            </w:r>
          </w:p>
          <w:p>
            <w:pPr>
              <w:pStyle w:val="Compact"/>
              <w:numPr>
                <w:ilvl w:val="0"/>
                <w:numId w:val="1010"/>
              </w:numPr>
            </w:pPr>
            <w:r>
              <w:t xml:space="preserve">Wide plot:</w:t>
            </w:r>
            <w:r>
              <w:t xml:space="preserve"> </w:t>
            </w:r>
            <w:r>
              <w:rPr>
                <w:rStyle w:val="VerbatimChar"/>
              </w:rPr>
              <w:t xml:space="preserve">figsize=(10, 4)</w:t>
            </w:r>
          </w:p>
          <w:p>
            <w:pPr>
              <w:pStyle w:val="Compact"/>
              <w:numPr>
                <w:ilvl w:val="0"/>
                <w:numId w:val="1010"/>
              </w:numPr>
            </w:pPr>
            <w:r>
              <w:t xml:space="preserve">Square plot:</w:t>
            </w:r>
            <w:r>
              <w:t xml:space="preserve"> </w:t>
            </w:r>
            <w:r>
              <w:rPr>
                <w:rStyle w:val="VerbatimChar"/>
              </w:rPr>
              <w:t xml:space="preserve">figsize=(6, 6)</w:t>
            </w:r>
          </w:p>
          <w:p>
            <w:pPr>
              <w:pStyle w:val="FirstParagraph"/>
            </w:pPr>
            <w:pPr>
              <w:spacing w:after="16"/>
            </w:pPr>
            <w:r>
              <w:rPr>
                <w:b/>
                <w:bCs/>
              </w:rPr>
              <w:t xml:space="preserve">Pro tip:</w:t>
            </w:r>
            <w:r>
              <w:t xml:space="preserve"> </w:t>
            </w:r>
            <w:r>
              <w:t xml:space="preserve">DPI (dots per inch) also affects quality. Matplotlib default is 100, but for publications use</w:t>
            </w:r>
            <w:r>
              <w:t xml:space="preserve"> </w:t>
            </w:r>
            <w:r>
              <w:rPr>
                <w:rStyle w:val="VerbatimChar"/>
              </w:rPr>
              <w:t xml:space="preserve">plt.savefig('plot.png', dpi=300)</w:t>
            </w:r>
            <w:r>
              <w:t xml:space="preserve"> </w:t>
            </w:r>
            <w:r>
              <w:t xml:space="preserve">if you need high-resolution images.</w:t>
            </w:r>
          </w:p>
          <w:p/>
        </w:tc>
      </w:tr>
    </w:tbl>
    <w:bookmarkStart w:id="50" w:name="introduction"/>
    <w:p>
      <w:pPr>
        <w:pStyle w:val="Heading1"/>
      </w:pPr>
      <w:r>
        <w:t xml:space="preserve">Introduction</w:t>
      </w:r>
    </w:p>
    <w:bookmarkStart w:id="47"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47"/>
    <w:bookmarkStart w:id="48" w:name="research-questions"/>
    <w:p>
      <w:pPr>
        <w:pStyle w:val="Heading2"/>
      </w:pPr>
      <w:r>
        <w:t xml:space="preserve">Research Questions</w:t>
      </w:r>
    </w:p>
    <w:p>
      <w:pPr>
        <w:pStyle w:val="Compact"/>
        <w:numPr>
          <w:ilvl w:val="0"/>
          <w:numId w:val="1011"/>
        </w:numPr>
      </w:pPr>
      <w:r>
        <w:t xml:space="preserve">How does remote work influence employees’ overall productivity?</w:t>
      </w:r>
    </w:p>
    <w:p>
      <w:pPr>
        <w:pStyle w:val="Compact"/>
        <w:numPr>
          <w:ilvl w:val="0"/>
          <w:numId w:val="1011"/>
        </w:numPr>
      </w:pPr>
      <w:r>
        <w:t xml:space="preserve">How does remote working affect employees’ ability to maintain social connections and avoid feelings of isolation?</w:t>
      </w:r>
    </w:p>
    <w:p>
      <w:pPr>
        <w:pStyle w:val="Compact"/>
        <w:numPr>
          <w:ilvl w:val="0"/>
          <w:numId w:val="1011"/>
        </w:numPr>
      </w:pPr>
      <w:r>
        <w:t xml:space="preserve">Has job satisfaction decreased or increased as a result of remote working conditions?</w:t>
      </w:r>
    </w:p>
    <w:p>
      <w:pPr>
        <w:pStyle w:val="Compact"/>
        <w:numPr>
          <w:ilvl w:val="0"/>
          <w:numId w:val="1011"/>
        </w:numPr>
      </w:pPr>
      <w:r>
        <w:t xml:space="preserve">Which factors contribute the most to employees’ overall satisfaction with remote work?</w:t>
      </w:r>
    </w:p>
    <w:bookmarkEnd w:id="48"/>
    <w:bookmarkStart w:id="49"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49"/>
    <w:bookmarkEnd w:id="50"/>
    <w:bookmarkStart w:id="62" w:name="data"/>
    <w:p>
      <w:pPr>
        <w:pStyle w:val="Heading1"/>
      </w:pPr>
      <w:r>
        <w:t xml:space="preserve">Data</w:t>
      </w:r>
    </w:p>
    <w:bookmarkStart w:id="52"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51">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12"/>
        </w:numPr>
      </w:pPr>
      <w:r>
        <w:t xml:space="preserve">be employed NSW residents</w:t>
      </w:r>
    </w:p>
    <w:p>
      <w:pPr>
        <w:numPr>
          <w:ilvl w:val="0"/>
          <w:numId w:val="101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is the 2020 wave of the survey. A second wave was collected in March and April 2021. For the present analysis, only the 2020 dataset is being processed and explored. Once the analysis of this wave is finalized, it will be possible to extend the project by including and comparing the 2021 dataset to identify how remote work patterns evolved over time.</w:t>
      </w:r>
    </w:p>
    <w:bookmarkEnd w:id="52"/>
    <w:bookmarkStart w:id="55"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1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1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1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1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14"/>
              </w:numPr>
            </w:pPr>
            <w:r>
              <w:rPr>
                <w:b/>
                <w:bCs/>
              </w:rPr>
              <w:t xml:space="preserve">File used:</w:t>
            </w:r>
            <w:r>
              <w:t xml:space="preserve"> </w:t>
            </w:r>
            <w:r>
              <w:t xml:space="preserve">2020_rws-updated.csv</w:t>
            </w:r>
          </w:p>
          <w:p>
            <w:pPr>
              <w:numPr>
                <w:ilvl w:val="0"/>
                <w:numId w:val="1014"/>
              </w:numPr>
            </w:pPr>
            <w:r>
              <w:rPr>
                <w:b/>
                <w:bCs/>
              </w:rPr>
              <w:t xml:space="preserve">Format:</w:t>
            </w:r>
            <w:r>
              <w:t xml:space="preserve"> </w:t>
            </w:r>
            <w:r>
              <w:t xml:space="preserve">CSV (comma-separated values)</w:t>
            </w:r>
          </w:p>
          <w:p>
            <w:pPr>
              <w:numPr>
                <w:ilvl w:val="0"/>
                <w:numId w:val="101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14"/>
              </w:numPr>
            </w:pPr>
            <w:r>
              <w:rPr>
                <w:b/>
                <w:bCs/>
              </w:rPr>
              <w:t xml:space="preserve">Memory usage:</w:t>
            </w:r>
            <w:r>
              <w:t xml:space="preserve"> </w:t>
            </w:r>
            <w:r>
              <w:t xml:space="preserve">approximately 7.46 MB</w:t>
            </w:r>
          </w:p>
          <w:p>
            <w:pPr>
              <w:numPr>
                <w:ilvl w:val="0"/>
                <w:numId w:val="1014"/>
              </w:numPr>
            </w:pPr>
            <w:r>
              <w:rPr>
                <w:b/>
                <w:bCs/>
              </w:rPr>
              <w:t xml:space="preserve">Number of observations:</w:t>
            </w:r>
            <w:r>
              <w:t xml:space="preserve"> </w:t>
            </w:r>
            <w:r>
              <w:t xml:space="preserve">1507 respondents (1370 rows after cleaning)</w:t>
            </w:r>
          </w:p>
          <w:p>
            <w:pPr>
              <w:numPr>
                <w:ilvl w:val="0"/>
                <w:numId w:val="1014"/>
              </w:numPr>
            </w:pPr>
            <w:r>
              <w:rPr>
                <w:b/>
                <w:bCs/>
              </w:rPr>
              <w:t xml:space="preserve">Number of variables:</w:t>
            </w:r>
            <w:r>
              <w:t xml:space="preserve"> </w:t>
            </w:r>
            <w:r>
              <w:t xml:space="preserve">73 columns (25 after cleaning)</w:t>
            </w:r>
          </w:p>
          <w:p>
            <w:pPr>
              <w:numPr>
                <w:ilvl w:val="0"/>
                <w:numId w:val="1014"/>
              </w:numPr>
            </w:pPr>
            <w:r>
              <w:rPr>
                <w:b/>
                <w:bCs/>
              </w:rPr>
              <w:t xml:space="preserve">Time period:</w:t>
            </w:r>
            <w:r>
              <w:t xml:space="preserve"> </w:t>
            </w:r>
            <w:r>
              <w:t xml:space="preserve">August and September 2020</w:t>
            </w:r>
          </w:p>
          <w:p>
            <w:pPr>
              <w:numPr>
                <w:ilvl w:val="0"/>
                <w:numId w:val="1014"/>
              </w:numPr>
            </w:pPr>
            <w:r>
              <w:rPr>
                <w:b/>
                <w:bCs/>
              </w:rPr>
              <w:t xml:space="preserve">Geographic coverage:</w:t>
            </w:r>
            <w:r>
              <w:t xml:space="preserve"> </w:t>
            </w:r>
            <w:r>
              <w:t xml:space="preserve">New South Wales, Australia</w:t>
            </w:r>
          </w:p>
          <w:p>
            <w:pPr>
              <w:numPr>
                <w:ilvl w:val="0"/>
                <w:numId w:val="101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55"/>
    <w:bookmarkStart w:id="57"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56"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56"/>
    <w:bookmarkEnd w:id="57"/>
    <w:bookmarkStart w:id="61" w:name="wrangling"/>
    <w:p>
      <w:pPr>
        <w:pStyle w:val="Heading2"/>
      </w:pPr>
      <w:r>
        <w:t xml:space="preserve">Wrangling</w:t>
      </w:r>
    </w:p>
    <w:bookmarkStart w:id="58"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58"/>
    <w:bookmarkStart w:id="59"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15"/>
        </w:numPr>
      </w:pPr>
      <w:r>
        <w:t xml:space="preserve">Most variables contained very few missing values, mainly in attitudinal questions where some respondents simply did not answer.</w:t>
      </w:r>
    </w:p>
    <w:p>
      <w:pPr>
        <w:numPr>
          <w:ilvl w:val="0"/>
          <w:numId w:val="1015"/>
        </w:numPr>
      </w:pPr>
      <w:r>
        <w:t xml:space="preserve">Additional missingness appeared when converting textual inputs (percentages or productivity statements) into numeric formats, entries that could not be parsed were intentionally converted to NaN.</w:t>
      </w:r>
    </w:p>
    <w:p>
      <w:pPr>
        <w:numPr>
          <w:ilvl w:val="0"/>
          <w:numId w:val="101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16"/>
        </w:numPr>
      </w:pPr>
      <w:r>
        <w:t xml:space="preserve">Deletion was applied when missingness or category size was extremely small and analytically useless.</w:t>
      </w:r>
    </w:p>
    <w:p>
      <w:pPr>
        <w:numPr>
          <w:ilvl w:val="0"/>
          <w:numId w:val="1016"/>
        </w:numPr>
      </w:pPr>
      <w:r>
        <w:t xml:space="preserve">Imputation with a neutral value (3 = Neither agree nor disagree) was used for missing Likert-scale answers to preserve observations without creating bias.</w:t>
      </w:r>
    </w:p>
    <w:p>
      <w:pPr>
        <w:numPr>
          <w:ilvl w:val="0"/>
          <w:numId w:val="101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1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1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59"/>
    <w:bookmarkStart w:id="60"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1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19"/>
        </w:numPr>
      </w:pPr>
      <w:r>
        <w:t xml:space="preserve">Domestic_hours_workplace: A single observation of –1 hour is impossible and indicates a recording error.</w:t>
      </w:r>
    </w:p>
    <w:p>
      <w:pPr>
        <w:numPr>
          <w:ilvl w:val="0"/>
          <w:numId w:val="101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20"/>
        </w:numPr>
      </w:pPr>
      <w:r>
        <w:t xml:space="preserve">Commute_hours_remote: Values up to 12 hours on remote days are implausible and likely due to misinterpretation or input mistakes.</w:t>
      </w:r>
    </w:p>
    <w:p>
      <w:pPr>
        <w:numPr>
          <w:ilvl w:val="0"/>
          <w:numId w:val="102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21"/>
        </w:numPr>
      </w:pPr>
      <w:r>
        <w:t xml:space="preserve">Outliers were evaluated using:</w:t>
      </w:r>
    </w:p>
    <w:p>
      <w:pPr>
        <w:numPr>
          <w:ilvl w:val="1"/>
          <w:numId w:val="1022"/>
        </w:numPr>
      </w:pPr>
      <w:r>
        <w:t xml:space="preserve">Visual inspection (histograms from univariate EDA)</w:t>
      </w:r>
    </w:p>
    <w:p>
      <w:pPr>
        <w:numPr>
          <w:ilvl w:val="1"/>
          <w:numId w:val="1022"/>
        </w:numPr>
      </w:pPr>
      <w:r>
        <w:t xml:space="preserve">Summary statistics (min/max, interquartile ranges)</w:t>
      </w:r>
    </w:p>
    <w:p>
      <w:pPr>
        <w:numPr>
          <w:ilvl w:val="1"/>
          <w:numId w:val="1022"/>
        </w:numPr>
      </w:pPr>
      <w:r>
        <w:t xml:space="preserve">Domain knowledge (negative hours, impossible ages)</w:t>
      </w:r>
    </w:p>
    <w:p>
      <w:pPr>
        <w:numPr>
          <w:ilvl w:val="0"/>
          <w:numId w:val="1021"/>
        </w:numPr>
      </w:pPr>
      <w:r>
        <w:t xml:space="preserve">Following best practices</w:t>
      </w:r>
    </w:p>
    <w:p>
      <w:pPr>
        <w:numPr>
          <w:ilvl w:val="1"/>
          <w:numId w:val="1023"/>
        </w:numPr>
      </w:pPr>
      <w:r>
        <w:t xml:space="preserve">Impossible values (age = 120, domestic hours = –1) will be removed before modelling.</w:t>
      </w:r>
    </w:p>
    <w:p>
      <w:pPr>
        <w:numPr>
          <w:ilvl w:val="1"/>
          <w:numId w:val="1023"/>
        </w:numPr>
      </w:pPr>
      <w:r>
        <w:t xml:space="preserve">Extreme but plausible behaviours (very long workdays) are kept unless they later bias model results.</w:t>
      </w:r>
    </w:p>
    <w:p>
      <w:pPr>
        <w:numPr>
          <w:ilvl w:val="1"/>
          <w:numId w:val="102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60"/>
    <w:bookmarkEnd w:id="61"/>
    <w:bookmarkEnd w:id="62"/>
    <w:bookmarkStart w:id="105" w:name="eda"/>
    <w:p>
      <w:pPr>
        <w:pStyle w:val="Heading1"/>
      </w:pPr>
      <w:r>
        <w:t xml:space="preserve">EDA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Exploratory Data Analysis (EDA) Purpose</w:t>
            </w:r>
          </w:p>
        </w:tc>
      </w:tr>
      <w:tr>
        <w:trPr>
          <w:cantSplit/>
        </w:trPr>
        <w:tc>
          <w:tcPr>
            <w:tcMar>
              <w:top w:w="108" w:type="dxa"/>
              <w:bottom w:w="108" w:type="dxa"/>
            </w:tcMar>
          </w:tcPr>
          <w:p>
            <w:pPr>
              <w:pStyle w:val="BodyText"/>
            </w:pPr>
            <w:pPr>
              <w:spacing w:before="16"/>
            </w:pPr>
            <w:r>
              <w:t xml:space="preserve">The goal of EDA is to:</w:t>
            </w:r>
          </w:p>
          <w:p>
            <w:pPr>
              <w:pStyle w:val="Compact"/>
              <w:numPr>
                <w:ilvl w:val="0"/>
                <w:numId w:val="1024"/>
              </w:numPr>
            </w:pPr>
            <w:r>
              <w:rPr>
                <w:b/>
                <w:bCs/>
              </w:rPr>
              <w:t xml:space="preserve">Understand</w:t>
            </w:r>
            <w:r>
              <w:t xml:space="preserve"> </w:t>
            </w:r>
            <w:r>
              <w:t xml:space="preserve">the structure and patterns in your data</w:t>
            </w:r>
          </w:p>
          <w:p>
            <w:pPr>
              <w:pStyle w:val="Compact"/>
              <w:numPr>
                <w:ilvl w:val="0"/>
                <w:numId w:val="1024"/>
              </w:numPr>
            </w:pPr>
            <w:r>
              <w:rPr>
                <w:b/>
                <w:bCs/>
              </w:rPr>
              <w:t xml:space="preserve">Identify</w:t>
            </w:r>
            <w:r>
              <w:t xml:space="preserve"> </w:t>
            </w:r>
            <w:r>
              <w:t xml:space="preserve">relationships between variables</w:t>
            </w:r>
          </w:p>
          <w:p>
            <w:pPr>
              <w:pStyle w:val="Compact"/>
              <w:numPr>
                <w:ilvl w:val="0"/>
                <w:numId w:val="1024"/>
              </w:numPr>
            </w:pPr>
            <w:r>
              <w:rPr>
                <w:b/>
                <w:bCs/>
              </w:rPr>
              <w:t xml:space="preserve">Detect</w:t>
            </w:r>
            <w:r>
              <w:t xml:space="preserve"> </w:t>
            </w:r>
            <w:r>
              <w:t xml:space="preserve">anomalies, outliers, and data quality issues</w:t>
            </w:r>
          </w:p>
          <w:p>
            <w:pPr>
              <w:pStyle w:val="Compact"/>
              <w:numPr>
                <w:ilvl w:val="0"/>
                <w:numId w:val="1024"/>
              </w:numPr>
            </w:pPr>
            <w:r>
              <w:rPr>
                <w:b/>
                <w:bCs/>
              </w:rPr>
              <w:t xml:space="preserve">Generate</w:t>
            </w:r>
            <w:r>
              <w:t xml:space="preserve"> </w:t>
            </w:r>
            <w:r>
              <w:t xml:space="preserve">hypotheses for further analysis</w:t>
            </w:r>
          </w:p>
          <w:p>
            <w:pPr>
              <w:pStyle w:val="Compact"/>
              <w:numPr>
                <w:ilvl w:val="0"/>
                <w:numId w:val="1024"/>
              </w:numPr>
            </w:pPr>
            <w:r>
              <w:rPr>
                <w:b/>
                <w:bCs/>
              </w:rPr>
              <w:t xml:space="preserve">Choose</w:t>
            </w:r>
            <w:r>
              <w:t xml:space="preserve"> </w:t>
            </w:r>
            <w:r>
              <w:t xml:space="preserve">appropriate statistical methods</w:t>
            </w:r>
          </w:p>
          <w:p>
            <w:pPr>
              <w:pStyle w:val="FirstParagraph"/>
            </w:pPr>
            <w:pPr>
              <w:spacing w:after="16"/>
            </w:pPr>
            <w:r>
              <w:t xml:space="preserve">Good EDA combines</w:t>
            </w:r>
            <w:r>
              <w:t xml:space="preserve"> </w:t>
            </w:r>
            <w:r>
              <w:rPr>
                <w:b/>
                <w:bCs/>
              </w:rPr>
              <w:t xml:space="preserve">visualizations</w:t>
            </w:r>
            <w:r>
              <w:t xml:space="preserve"> </w:t>
            </w:r>
            <w:r>
              <w:t xml:space="preserve">+</w:t>
            </w:r>
            <w:r>
              <w:t xml:space="preserve"> </w:t>
            </w:r>
            <w:r>
              <w:rPr>
                <w:b/>
                <w:bCs/>
              </w:rPr>
              <w:t xml:space="preserve">summary statistics</w:t>
            </w:r>
            <w:r>
              <w:t xml:space="preserve"> </w:t>
            </w:r>
            <w:r>
              <w:t xml:space="preserve">+</w:t>
            </w:r>
            <w:r>
              <w:t xml:space="preserve"> </w:t>
            </w:r>
            <w:r>
              <w:rPr>
                <w:b/>
                <w:bCs/>
              </w:rPr>
              <w:t xml:space="preserve">domain knowledge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Key!</w:t>
            </w:r>
          </w:p>
        </w:tc>
      </w:tr>
      <w:tr>
        <w:trPr>
          <w:cantSplit/>
        </w:trPr>
        <w:tc>
          <w:tcPr>
            <w:tcMar>
              <w:top w:w="108" w:type="dxa"/>
              <w:bottom w:w="108" w:type="dxa"/>
            </w:tcMar>
          </w:tcPr>
          <w:p>
            <w:pPr>
              <w:pStyle w:val="BodyText"/>
            </w:pPr>
            <w:pPr>
              <w:spacing w:before="16"/>
            </w:pPr>
            <w:r>
              <w:rPr>
                <w:b/>
                <w:bCs/>
              </w:rPr>
              <w:t xml:space="preserve">Creating plots is only half the work.</w:t>
            </w:r>
            <w:r>
              <w:t xml:space="preserve"> </w:t>
            </w:r>
            <w:r>
              <w:t xml:space="preserve">The most important part of EDA is</w:t>
            </w:r>
            <w:r>
              <w:t xml:space="preserve"> </w:t>
            </w:r>
            <w:r>
              <w:rPr>
                <w:b/>
                <w:bCs/>
              </w:rPr>
              <w:t xml:space="preserve">interpreting</w:t>
            </w:r>
            <w:r>
              <w:t xml:space="preserve"> </w:t>
            </w:r>
            <w:r>
              <w:t xml:space="preserve">what your visualizations reveal about the data.</w:t>
            </w:r>
          </w:p>
          <w:p>
            <w:pPr>
              <w:pStyle w:val="BodyText"/>
            </w:pPr>
            <w:r>
              <w:t xml:space="preserve">For</w:t>
            </w:r>
            <w:r>
              <w:t xml:space="preserve"> </w:t>
            </w:r>
            <w:r>
              <w:rPr>
                <w:b/>
                <w:bCs/>
              </w:rPr>
              <w:t xml:space="preserve">every plot</w:t>
            </w:r>
            <w:r>
              <w:t xml:space="preserve"> </w:t>
            </w:r>
            <w:r>
              <w:t xml:space="preserve">you create, you must:</w:t>
            </w:r>
          </w:p>
          <w:p>
            <w:pPr>
              <w:pStyle w:val="Compact"/>
              <w:numPr>
                <w:ilvl w:val="0"/>
                <w:numId w:val="1025"/>
              </w:numPr>
            </w:pPr>
            <w:r>
              <w:rPr>
                <w:b/>
                <w:bCs/>
              </w:rPr>
              <w:t xml:space="preserve">Describe</w:t>
            </w:r>
            <w:r>
              <w:t xml:space="preserve"> </w:t>
            </w:r>
            <w:r>
              <w:t xml:space="preserve">what the plot shows (patterns, trends, distributions)</w:t>
            </w:r>
          </w:p>
          <w:p>
            <w:pPr>
              <w:pStyle w:val="Compact"/>
              <w:numPr>
                <w:ilvl w:val="0"/>
                <w:numId w:val="1025"/>
              </w:numPr>
            </w:pPr>
            <w:r>
              <w:rPr>
                <w:b/>
                <w:bCs/>
              </w:rPr>
              <w:t xml:space="preserve">Explain</w:t>
            </w:r>
            <w:r>
              <w:t xml:space="preserve"> </w:t>
            </w:r>
            <w:r>
              <w:t xml:space="preserve">why these patterns matter for your research questions</w:t>
            </w:r>
          </w:p>
          <w:p>
            <w:pPr>
              <w:pStyle w:val="Compact"/>
              <w:numPr>
                <w:ilvl w:val="0"/>
                <w:numId w:val="1025"/>
              </w:numPr>
            </w:pPr>
            <w:r>
              <w:rPr>
                <w:b/>
                <w:bCs/>
              </w:rPr>
              <w:t xml:space="preserve">Connect</w:t>
            </w:r>
            <w:r>
              <w:t xml:space="preserve"> </w:t>
            </w:r>
            <w:r>
              <w:t xml:space="preserve">findings to your project goals and domain context</w:t>
            </w:r>
          </w:p>
          <w:p>
            <w:pPr>
              <w:pStyle w:val="Compact"/>
              <w:numPr>
                <w:ilvl w:val="0"/>
                <w:numId w:val="1025"/>
              </w:numPr>
            </w:pPr>
            <w:r>
              <w:rPr>
                <w:b/>
                <w:bCs/>
              </w:rPr>
              <w:t xml:space="preserve">Justify</w:t>
            </w:r>
            <w:r>
              <w:t xml:space="preserve"> </w:t>
            </w:r>
            <w:r>
              <w:t xml:space="preserve">subsequent analysis decisions based on these insights</w:t>
            </w:r>
          </w:p>
          <w:p>
            <w:pPr>
              <w:pStyle w:val="FirstParagraph"/>
            </w:pPr>
            <w:pPr>
              <w:spacing w:after="16"/>
            </w:pPr>
            <w:r>
              <w:rPr>
                <w:b/>
                <w:bCs/>
              </w:rPr>
              <w:t xml:space="preserve">A plot without interpretation is meaningless.</w:t>
            </w:r>
            <w:r>
              <w:t xml:space="preserve"> </w:t>
            </w:r>
            <w:r>
              <w:t xml:space="preserve">Your grade depends heavily on the quality of your interpretations, not just the number of plots you create.</w:t>
            </w:r>
          </w:p>
          <w:p/>
        </w:tc>
      </w:tr>
    </w:tbl>
    <w:bookmarkStart w:id="68" w:name="univariate-analysis"/>
    <w:p>
      <w:pPr>
        <w:pStyle w:val="Heading2"/>
      </w:pPr>
      <w:r>
        <w:t xml:space="preserve">Univariate Analysis</w:t>
      </w:r>
    </w:p>
    <w:p>
      <w:pPr>
        <w:pStyle w:val="FirstParagraph"/>
      </w:pPr>
      <w:r>
        <w:t xml:space="preserve">Examine each variable individually to understand its distribution, central tendency, and spread.</w:t>
      </w:r>
    </w:p>
    <w:bookmarkEnd w:id="68"/>
    <w:p>
      <w:pPr>
        <w:pStyle w:val="Heading2"/>
      </w:pPr>
      <w:r>
        <w:t xml:space="preserve">Distribution Plot</w:t>
      </w:r>
    </w:p>
    <w:tbl>
      <w:tblPr>
        <w:tblStyle w:val="Table"/>
        <w:tblW w:type="pct" w:w="5000"/>
        <w:tblLayout w:type="fixed"/>
        <w:tblLook w:firstRow="0" w:lastRow="0" w:firstColumn="0" w:lastColumn="0" w:noHBand="0" w:noVBand="0" w:val="0000"/>
      </w:tblPr>
      <w:tblGrid>
        <w:gridCol w:w="7920"/>
      </w:tblGrid>
      <w:tr>
        <w:tc>
          <w:tcPr/>
          <w:bookmarkStart w:id="72" w:name="fig-performance-dist"/>
          <w:p>
            <w:pPr>
              <w:pStyle w:val="Compact"/>
              <w:jc w:val="center"/>
            </w:pPr>
            <w:r>
              <w:drawing>
                <wp:inline>
                  <wp:extent cx="5334000" cy="3283009"/>
                  <wp:effectExtent b="0" l="0" r="0" t="0"/>
                  <wp:docPr descr="" title="" id="70" name="Picture"/>
                  <a:graphic>
                    <a:graphicData uri="http://schemas.openxmlformats.org/drawingml/2006/picture">
                      <pic:pic>
                        <pic:nvPicPr>
                          <pic:cNvPr descr="report_files/figure-docx/fig-performance-dist-output-1.png" id="71" name="Picture"/>
                          <pic:cNvPicPr>
                            <a:picLocks noChangeArrowheads="1" noChangeAspect="1"/>
                          </pic:cNvPicPr>
                        </pic:nvPicPr>
                        <pic:blipFill>
                          <a:blip r:embed="rId69"/>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performance scores showing approximately normal distribution</w:t>
            </w:r>
          </w:p>
          <w:bookmarkEnd w:id="72"/>
        </w:tc>
      </w:tr>
    </w:tbl>
    <w:p>
      <w:pPr>
        <w:pStyle w:val="Heading2"/>
      </w:pPr>
      <w:r>
        <w:t xml:space="preserve">Summary Statistics</w:t>
      </w:r>
    </w:p>
    <w:tbl>
      <w:tblPr>
        <w:tblStyle w:val="Table"/>
        <w:tblW w:type="pct" w:w="5000"/>
        <w:tblLayout w:type="fixed"/>
        <w:tblLook w:firstRow="0" w:lastRow="0" w:firstColumn="0" w:lastColumn="0" w:noHBand="0" w:noVBand="0" w:val="0000"/>
      </w:tblPr>
      <w:tblGrid>
        <w:gridCol w:w="7920"/>
      </w:tblGrid>
      <w:tr>
        <w:tc>
          <w:tcPr/>
          <w:bookmarkStart w:id="73" w:name="tbl-summary-stats"/>
          <w:p>
            <w:pPr>
              <w:jc w:val="center"/>
            </w:pPr>
            <w:pPr>
              <w:jc w:val="left"/>
              <w:spacing w:before="200"/>
              <w:pStyle w:val="ImageCaption"/>
            </w:pPr>
            <w:r>
              <w:t xml:space="preserve">Table 1: Summary statistics for performance scores</w:t>
            </w:r>
          </w:p>
          <w:p>
            <w:pPr>
              <w:pStyle w:val="SourceCode"/>
              <w:jc w:val="center"/>
            </w:pPr>
            <w:r>
              <w:br/>
            </w:r>
            <w:r>
              <w:rPr>
                <w:rStyle w:val="VerbatimChar"/>
              </w:rPr>
              <w:t xml:space="preserve">=== Performance Summary Statistics ===</w:t>
            </w:r>
            <w:r>
              <w:br/>
            </w:r>
            <w:r>
              <w:rPr>
                <w:rStyle w:val="VerbatimChar"/>
              </w:rPr>
              <w:t xml:space="preserve">count    200.000000</w:t>
            </w:r>
            <w:r>
              <w:br/>
            </w:r>
            <w:r>
              <w:rPr>
                <w:rStyle w:val="VerbatimChar"/>
              </w:rPr>
              <w:t xml:space="preserve">mean       0.900564</w:t>
            </w:r>
            <w:r>
              <w:br/>
            </w:r>
            <w:r>
              <w:rPr>
                <w:rStyle w:val="VerbatimChar"/>
              </w:rPr>
              <w:t xml:space="preserve">std        0.047921</w:t>
            </w:r>
            <w:r>
              <w:br/>
            </w:r>
            <w:r>
              <w:rPr>
                <w:rStyle w:val="VerbatimChar"/>
              </w:rPr>
              <w:t xml:space="preserve">min        0.784097</w:t>
            </w:r>
            <w:r>
              <w:br/>
            </w:r>
            <w:r>
              <w:rPr>
                <w:rStyle w:val="VerbatimChar"/>
              </w:rPr>
              <w:t xml:space="preserve">25%        0.866466</w:t>
            </w:r>
            <w:r>
              <w:br/>
            </w:r>
            <w:r>
              <w:rPr>
                <w:rStyle w:val="VerbatimChar"/>
              </w:rPr>
              <w:t xml:space="preserve">50%        0.898625</w:t>
            </w:r>
            <w:r>
              <w:br/>
            </w:r>
            <w:r>
              <w:rPr>
                <w:rStyle w:val="VerbatimChar"/>
              </w:rPr>
              <w:t xml:space="preserve">75%        0.930474</w:t>
            </w:r>
            <w:r>
              <w:br/>
            </w:r>
            <w:r>
              <w:rPr>
                <w:rStyle w:val="VerbatimChar"/>
              </w:rPr>
              <w:t xml:space="preserve">max        1.000000</w:t>
            </w:r>
            <w:r>
              <w:br/>
            </w:r>
            <w:r>
              <w:br/>
            </w:r>
            <w:r>
              <w:rPr>
                <w:rStyle w:val="VerbatimChar"/>
              </w:rPr>
              <w:t xml:space="preserve">Skewness: 0.055</w:t>
            </w:r>
            <w:r>
              <w:br/>
            </w:r>
            <w:r>
              <w:rPr>
                <w:rStyle w:val="VerbatimChar"/>
              </w:rPr>
              <w:t xml:space="preserve">Kurtosis: -0.347</w:t>
            </w:r>
          </w:p>
          <w:bookmarkEnd w:id="73"/>
        </w:tc>
      </w:tr>
    </w:tbl>
    <w:p>
      <w:pPr>
        <w:pStyle w:val="Heading2"/>
      </w:pPr>
      <w:r>
        <w:t xml:space="preserve">Box Plot</w:t>
      </w:r>
    </w:p>
    <w:tbl>
      <w:tblPr>
        <w:tblStyle w:val="Table"/>
        <w:tblW w:type="pct" w:w="5000"/>
        <w:tblLayout w:type="fixed"/>
        <w:tblLook w:firstRow="0" w:lastRow="0" w:firstColumn="0" w:lastColumn="0" w:noHBand="0" w:noVBand="0" w:val="0000"/>
      </w:tblPr>
      <w:tblGrid>
        <w:gridCol w:w="7920"/>
      </w:tblGrid>
      <w:tr>
        <w:tc>
          <w:tcPr/>
          <w:bookmarkStart w:id="77" w:name="fig-performance-box"/>
          <w:p>
            <w:pPr>
              <w:pStyle w:val="Compact"/>
              <w:jc w:val="center"/>
            </w:pPr>
            <w:r>
              <w:drawing>
                <wp:inline>
                  <wp:extent cx="5305425" cy="3476625"/>
                  <wp:effectExtent b="0" l="0" r="0" t="0"/>
                  <wp:docPr descr="" title="" id="75" name="Picture"/>
                  <a:graphic>
                    <a:graphicData uri="http://schemas.openxmlformats.org/drawingml/2006/picture">
                      <pic:pic>
                        <pic:nvPicPr>
                          <pic:cNvPr descr="report_files/figure-docx/fig-performance-box-output-1.png" id="76" name="Picture"/>
                          <pic:cNvPicPr>
                            <a:picLocks noChangeArrowheads="1" noChangeAspect="1"/>
                          </pic:cNvPicPr>
                        </pic:nvPicPr>
                        <pic:blipFill>
                          <a:blip r:embed="rId74"/>
                          <a:stretch>
                            <a:fillRect/>
                          </a:stretch>
                        </pic:blipFill>
                        <pic:spPr bwMode="auto">
                          <a:xfrm>
                            <a:off x="0" y="0"/>
                            <a:ext cx="5305425" cy="3476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 plot showing the five-number summary and outliers</w:t>
            </w:r>
          </w:p>
          <w:bookmarkEnd w:id="77"/>
        </w:tc>
      </w:tr>
    </w:tbl>
    <w:bookmarkStart w:id="80" w:name="bivariate-analysis"/>
    <w:p>
      <w:pPr>
        <w:pStyle w:val="Heading2"/>
      </w:pPr>
      <w:r>
        <w:t xml:space="preserve">Bivariate Analysis</w:t>
      </w:r>
    </w:p>
    <w:p>
      <w:pPr>
        <w:pStyle w:val="FirstParagraph"/>
      </w:pPr>
      <w:r>
        <w:t xml:space="preserve">Explore relationships between two variables.</w:t>
      </w:r>
    </w:p>
    <w:p>
      <w:pPr>
        <w:pStyle w:val="BodyText"/>
      </w:pPr>
      <w:r>
        <w:t xml:space="preserve">Our univariate analysis in</w:t>
      </w:r>
      <w:r>
        <w:t xml:space="preserve"> </w:t>
      </w:r>
      <w:hyperlink w:anchor="fig-performance-dist">
        <w:r>
          <w:rPr>
            <w:rStyle w:val="Hyperlink"/>
          </w:rPr>
          <w:t xml:space="preserve">Figure 2</w:t>
        </w:r>
      </w:hyperlink>
      <w:r>
        <w:t xml:space="preserve"> </w:t>
      </w:r>
      <w:r>
        <w:t xml:space="preserve">revealed that performance scores follow an approximately normal distribution with a mean of 0.90. The box plot (</w:t>
      </w:r>
      <w:hyperlink w:anchor="fig-performance-box">
        <w:r>
          <w:rPr>
            <w:rStyle w:val="Hyperlink"/>
          </w:rPr>
          <w:t xml:space="preserve">Figure 3</w:t>
        </w:r>
      </w:hyperlink>
      <w:r>
        <w:t xml:space="preserve">) confirmed this finding and helped identify a few outliers at the lower end of the 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tip.png" id="7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Reference Figures</w:t>
            </w:r>
          </w:p>
        </w:tc>
      </w:tr>
      <w:tr>
        <w:trPr>
          <w:cantSplit/>
        </w:trPr>
        <w:tc>
          <w:tcPr>
            <w:tcMar>
              <w:top w:w="108" w:type="dxa"/>
              <w:bottom w:w="108" w:type="dxa"/>
            </w:tcMar>
          </w:tcPr>
          <w:p>
            <w:pPr>
              <w:pStyle w:val="BodyText"/>
            </w:pPr>
            <w:pPr>
              <w:spacing w:before="16"/>
            </w:pPr>
            <w:r>
              <w:t xml:space="preserve">Use</w:t>
            </w:r>
            <w:r>
              <w:t xml:space="preserve"> </w:t>
            </w:r>
            <w:r>
              <w:rPr>
                <w:rStyle w:val="VerbatimChar"/>
              </w:rPr>
              <w:t xml:space="preserve">@fig-label</w:t>
            </w:r>
            <w:r>
              <w:t xml:space="preserve"> </w:t>
            </w:r>
            <w:r>
              <w:t xml:space="preserve">syntax to reference figures in your text. Quarto automatically numbers them and creates clickable links.</w:t>
            </w:r>
          </w:p>
          <w:p>
            <w:pPr>
              <w:pStyle w:val="BodyText"/>
            </w:pPr>
            <w:r>
              <w:rPr>
                <w:b/>
                <w:bCs/>
              </w:rPr>
              <w:t xml:space="preserve">Examples with figures in this template:</w:t>
            </w:r>
          </w:p>
          <w:p>
            <w:pPr>
              <w:pStyle w:val="Compact"/>
              <w:numPr>
                <w:ilvl w:val="0"/>
                <w:numId w:val="1026"/>
              </w:numPr>
            </w:pPr>
            <w:r>
              <w:rPr>
                <w:rStyle w:val="VerbatimChar"/>
              </w:rPr>
              <w:t xml:space="preserve">@fig-performance-dist</w:t>
            </w:r>
            <w:r>
              <w:t xml:space="preserve"> </w:t>
            </w:r>
            <w:r>
              <w:t xml:space="preserve">→ See</w:t>
            </w:r>
            <w:r>
              <w:t xml:space="preserve"> </w:t>
            </w:r>
            <w:hyperlink w:anchor="fig-performance-dist">
              <w:r>
                <w:rPr>
                  <w:rStyle w:val="Hyperlink"/>
                </w:rPr>
                <w:t xml:space="preserve">Figure 2</w:t>
              </w:r>
            </w:hyperlink>
            <w:r>
              <w:t xml:space="preserve"> </w:t>
            </w:r>
            <w:r>
              <w:t xml:space="preserve">for details</w:t>
            </w:r>
          </w:p>
          <w:p>
            <w:pPr>
              <w:pStyle w:val="Compact"/>
              <w:numPr>
                <w:ilvl w:val="0"/>
                <w:numId w:val="1026"/>
              </w:numPr>
            </w:pPr>
            <w:r>
              <w:rPr>
                <w:rStyle w:val="VerbatimChar"/>
              </w:rPr>
              <w:t xml:space="preserve">@fig-correlation-matrix</w:t>
            </w:r>
            <w:r>
              <w:t xml:space="preserve"> </w:t>
            </w:r>
            <w:r>
              <w:t xml:space="preserve">→ As shown in</w:t>
            </w:r>
            <w:r>
              <w:t xml:space="preserve"> </w:t>
            </w:r>
            <w:hyperlink w:anchor="fig-correlation-matrix">
              <w:r>
                <w:rPr>
                  <w:rStyle w:val="Hyperlink"/>
                </w:rPr>
                <w:t xml:space="preserve">Figure 5</w:t>
              </w:r>
            </w:hyperlink>
          </w:p>
          <w:p>
            <w:pPr>
              <w:pStyle w:val="Compact"/>
              <w:numPr>
                <w:ilvl w:val="0"/>
                <w:numId w:val="1026"/>
              </w:numPr>
            </w:pPr>
            <w:r>
              <w:rPr>
                <w:rStyle w:val="VerbatimChar"/>
              </w:rPr>
              <w:t xml:space="preserve">@tbl-anova-test</w:t>
            </w:r>
            <w:r>
              <w:t xml:space="preserve"> </w:t>
            </w:r>
            <w:r>
              <w:t xml:space="preserve">→ The ANOVA results in</w:t>
            </w:r>
            <w:r>
              <w:t xml:space="preserve"> </w:t>
            </w:r>
            <w:hyperlink w:anchor="tbl-anova-test">
              <w:r>
                <w:rPr>
                  <w:rStyle w:val="Hyperlink"/>
                </w:rPr>
                <w:t xml:space="preserve">Table 2</w:t>
              </w:r>
            </w:hyperlink>
          </w:p>
          <w:p>
            <w:pPr>
              <w:pStyle w:val="FirstParagraph"/>
            </w:pPr>
            <w:r>
              <w:rPr>
                <w:b/>
                <w:bCs/>
              </w:rPr>
              <w:t xml:space="preserve">Why reference figures?</w:t>
            </w:r>
          </w:p>
          <w:p>
            <w:pPr>
              <w:pStyle w:val="Compact"/>
              <w:numPr>
                <w:ilvl w:val="0"/>
                <w:numId w:val="1027"/>
              </w:numPr>
            </w:pPr>
            <w:r>
              <w:t xml:space="preserve">Automatic numbering (updates if you reorder)</w:t>
            </w:r>
          </w:p>
          <w:p>
            <w:pPr>
              <w:pStyle w:val="Compact"/>
              <w:numPr>
                <w:ilvl w:val="0"/>
                <w:numId w:val="1027"/>
              </w:numPr>
            </w:pPr>
            <w:r>
              <w:t xml:space="preserve">Clickable links in HTML output</w:t>
            </w:r>
          </w:p>
          <w:p>
            <w:pPr>
              <w:pStyle w:val="Compact"/>
              <w:numPr>
                <w:ilvl w:val="0"/>
                <w:numId w:val="1027"/>
              </w:numPr>
            </w:pPr>
            <w:r>
              <w:t xml:space="preserve">Professional academic writing standard</w:t>
            </w:r>
          </w:p>
          <w:p>
            <w:pPr>
              <w:pStyle w:val="Compact"/>
              <w:numPr>
                <w:ilvl w:val="0"/>
                <w:numId w:val="1027"/>
              </w:numPr>
            </w:pPr>
            <w:r>
              <w:t xml:space="preserve">Helps readers find the relevant visualization</w:t>
            </w:r>
          </w:p>
          <w:p>
            <w:pPr>
              <w:pStyle w:val="FirstParagraph"/>
            </w:pPr>
            <w:r>
              <w:rPr>
                <w:b/>
                <w:bCs/>
              </w:rPr>
              <w:t xml:space="preserve">Example usage in text:</w:t>
            </w:r>
          </w:p>
          <w:p>
            <w:pPr>
              <w:pStyle w:val="BodyText"/>
            </w:pPr>
            <w:r>
              <w:t xml:space="preserve">“The distribution shown in</w:t>
            </w:r>
            <w:r>
              <w:t xml:space="preserve"> </w:t>
            </w:r>
            <w:hyperlink w:anchor="fig-performance-dist">
              <w:r>
                <w:rPr>
                  <w:rStyle w:val="Hyperlink"/>
                </w:rPr>
                <w:t xml:space="preserve">Figure 2</w:t>
              </w:r>
            </w:hyperlink>
            <w:r>
              <w:t xml:space="preserve"> </w:t>
            </w:r>
            <w:r>
              <w:t xml:space="preserve">indicates…”</w:t>
            </w:r>
          </w:p>
          <w:p>
            <w:pPr>
              <w:pStyle w:val="BodyText"/>
            </w:pPr>
            <w:pPr>
              <w:spacing w:after="16"/>
            </w:pPr>
            <w:r>
              <w:t xml:space="preserve">“As seen in</w:t>
            </w:r>
            <w:r>
              <w:t xml:space="preserve"> </w:t>
            </w:r>
            <w:hyperlink w:anchor="fig-correlation-matrix">
              <w:r>
                <w:rPr>
                  <w:rStyle w:val="Hyperlink"/>
                </w:rPr>
                <w:t xml:space="preserve">Figure 5</w:t>
              </w:r>
            </w:hyperlink>
            <w:r>
              <w:t xml:space="preserve">, there is a strong positive correlation…”</w:t>
            </w:r>
          </w:p>
          <w:p/>
        </w:tc>
      </w:tr>
    </w:tbl>
    <w:p>
      <w:pPr>
        <w:pStyle w:val="BodyText"/>
      </w:pPr>
      <w:r>
        <w:t xml:space="preserve">Now let’s examine how performance varies across different instructors.</w:t>
      </w:r>
    </w:p>
    <w:bookmarkEnd w:id="80"/>
    <w:p>
      <w:pPr>
        <w:pStyle w:val="Heading2"/>
      </w:pPr>
      <w:r>
        <w:t xml:space="preserve">Grouped Comparison</w:t>
      </w:r>
    </w:p>
    <w:tbl>
      <w:tblPr>
        <w:tblStyle w:val="Table"/>
        <w:tblW w:type="pct" w:w="5000"/>
        <w:tblLayout w:type="fixed"/>
        <w:tblLook w:firstRow="0" w:lastRow="0" w:firstColumn="0" w:lastColumn="0" w:noHBand="0" w:noVBand="0" w:val="0000"/>
      </w:tblPr>
      <w:tblGrid>
        <w:gridCol w:w="7920"/>
      </w:tblGrid>
      <w:tr>
        <w:tc>
          <w:tcPr/>
          <w:bookmarkStart w:id="84" w:name="fig-performance-by-instructor"/>
          <w:p>
            <w:pPr>
              <w:pStyle w:val="Compact"/>
              <w:jc w:val="center"/>
            </w:pPr>
            <w:r>
              <w:drawing>
                <wp:inline>
                  <wp:extent cx="5334000" cy="3283009"/>
                  <wp:effectExtent b="0" l="0" r="0" t="0"/>
                  <wp:docPr descr="" title="" id="82" name="Picture"/>
                  <a:graphic>
                    <a:graphicData uri="http://schemas.openxmlformats.org/drawingml/2006/picture">
                      <pic:pic>
                        <pic:nvPicPr>
                          <pic:cNvPr descr="report_files/figure-docx/fig-performance-by-instructor-output-1.png" id="83" name="Picture"/>
                          <pic:cNvPicPr>
                            <a:picLocks noChangeArrowheads="1" noChangeAspect="1"/>
                          </pic:cNvPicPr>
                        </pic:nvPicPr>
                        <pic:blipFill>
                          <a:blip r:embed="rId81"/>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Performance scores grouped by instructor showing variation across instructors</w:t>
            </w:r>
          </w:p>
          <w:bookmarkEnd w:id="84"/>
        </w:tc>
      </w:tr>
    </w:tbl>
    <w:p>
      <w:pPr>
        <w:pStyle w:val="Heading2"/>
      </w:pPr>
      <w:r>
        <w:t xml:space="preserve">Statistical Test</w:t>
      </w:r>
    </w:p>
    <w:tbl>
      <w:tblPr>
        <w:tblStyle w:val="Table"/>
        <w:tblW w:type="pct" w:w="5000"/>
        <w:tblLayout w:type="fixed"/>
        <w:tblLook w:firstRow="0" w:lastRow="0" w:firstColumn="0" w:lastColumn="0" w:noHBand="0" w:noVBand="0" w:val="0000"/>
      </w:tblPr>
      <w:tblGrid>
        <w:gridCol w:w="7920"/>
      </w:tblGrid>
      <w:tr>
        <w:tc>
          <w:tcPr/>
          <w:bookmarkStart w:id="85" w:name="tbl-anova-test"/>
          <w:p>
            <w:pPr>
              <w:jc w:val="center"/>
            </w:pPr>
            <w:pPr>
              <w:jc w:val="left"/>
              <w:spacing w:before="200"/>
              <w:pStyle w:val="ImageCaption"/>
            </w:pPr>
            <w:r>
              <w:t xml:space="preserve">Table 2: ANOVA test results for performance differences across instructors</w:t>
            </w:r>
          </w:p>
          <w:p>
            <w:pPr>
              <w:pStyle w:val="SourceCode"/>
              <w:jc w:val="center"/>
            </w:pPr>
            <w:r>
              <w:br/>
            </w:r>
            <w:r>
              <w:rPr>
                <w:rStyle w:val="VerbatimChar"/>
              </w:rPr>
              <w:t xml:space="preserve">=== ANOVA Test Results ===</w:t>
            </w:r>
            <w:r>
              <w:br/>
            </w:r>
            <w:r>
              <w:rPr>
                <w:rStyle w:val="VerbatimChar"/>
              </w:rPr>
              <w:t xml:space="preserve">F-statistic: 2.2002</w:t>
            </w:r>
            <w:r>
              <w:br/>
            </w:r>
            <w:r>
              <w:rPr>
                <w:rStyle w:val="VerbatimChar"/>
              </w:rPr>
              <w:t xml:space="preserve">P-value: 0.1135</w:t>
            </w:r>
            <w:r>
              <w:br/>
            </w:r>
            <w:r>
              <w:br/>
            </w:r>
            <w:r>
              <w:rPr>
                <w:rStyle w:val="VerbatimChar"/>
              </w:rPr>
              <w:t xml:space="preserve">Interpretation: Not significant difference at α=0.05</w:t>
            </w:r>
            <w:r>
              <w:br/>
            </w:r>
            <w:r>
              <w:br/>
            </w:r>
            <w:r>
              <w:rPr>
                <w:rStyle w:val="VerbatimChar"/>
              </w:rPr>
              <w:t xml:space="preserve">=== Group Means ===</w:t>
            </w:r>
            <w:r>
              <w:br/>
            </w:r>
            <w:r>
              <w:rPr>
                <w:rStyle w:val="VerbatimChar"/>
              </w:rPr>
              <w:t xml:space="preserve">instructor</w:t>
            </w:r>
            <w:r>
              <w:br/>
            </w:r>
            <w:r>
              <w:rPr>
                <w:rStyle w:val="VerbatimChar"/>
              </w:rPr>
              <w:t xml:space="preserve">Ilia    0.905520</w:t>
            </w:r>
            <w:r>
              <w:br/>
            </w:r>
            <w:r>
              <w:rPr>
                <w:rStyle w:val="VerbatimChar"/>
              </w:rPr>
              <w:t xml:space="preserve">Jane    0.906344</w:t>
            </w:r>
            <w:r>
              <w:br/>
            </w:r>
            <w:r>
              <w:rPr>
                <w:rStyle w:val="VerbatimChar"/>
              </w:rPr>
              <w:t xml:space="preserve">John    0.891255</w:t>
            </w:r>
          </w:p>
          <w:bookmarkEnd w:id="85"/>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Plot Quality Requirements</w:t>
            </w:r>
          </w:p>
        </w:tc>
      </w:tr>
      <w:tr>
        <w:trPr>
          <w:cantSplit/>
        </w:trPr>
        <w:tc>
          <w:tcPr>
            <w:tcMar>
              <w:top w:w="108" w:type="dxa"/>
              <w:bottom w:w="108" w:type="dxa"/>
            </w:tcMar>
          </w:tcPr>
          <w:p>
            <w:pPr>
              <w:pStyle w:val="BodyText"/>
            </w:pPr>
            <w:pPr>
              <w:spacing w:before="16"/>
            </w:pPr>
            <w:r>
              <w:t xml:space="preserve">Every plot in your report should have:</w:t>
            </w:r>
          </w:p>
          <w:p>
            <w:pPr>
              <w:pStyle w:val="BodyText"/>
            </w:pPr>
            <w:r>
              <w:t xml:space="preserve">✓</w:t>
            </w:r>
            <w:r>
              <w:t xml:space="preserve"> </w:t>
            </w:r>
            <w:r>
              <w:rPr>
                <w:b/>
                <w:bCs/>
              </w:rPr>
              <w:t xml:space="preserve">Clear title</w:t>
            </w:r>
            <w:r>
              <w:t xml:space="preserve"> </w:t>
            </w:r>
            <w:r>
              <w:t xml:space="preserve">that explains what’s being shown</w:t>
            </w:r>
            <w:r>
              <w:br/>
            </w:r>
            <w:r>
              <w:t xml:space="preserve">✓</w:t>
            </w:r>
            <w:r>
              <w:t xml:space="preserve"> </w:t>
            </w:r>
            <w:r>
              <w:rPr>
                <w:b/>
                <w:bCs/>
              </w:rPr>
              <w:t xml:space="preserve">Labeled axes</w:t>
            </w:r>
            <w:r>
              <w:t xml:space="preserve"> </w:t>
            </w:r>
            <w:r>
              <w:t xml:space="preserve">with units when applicable</w:t>
            </w:r>
            <w:r>
              <w:br/>
            </w:r>
            <w:r>
              <w:t xml:space="preserve">✓</w:t>
            </w:r>
            <w:r>
              <w:t xml:space="preserve"> </w:t>
            </w:r>
            <w:r>
              <w:rPr>
                <w:b/>
                <w:bCs/>
              </w:rPr>
              <w:t xml:space="preserve">Legend</w:t>
            </w:r>
            <w:r>
              <w:t xml:space="preserve"> </w:t>
            </w:r>
            <w:r>
              <w:t xml:space="preserve">if multiple groups/series are shown</w:t>
            </w:r>
            <w:r>
              <w:br/>
            </w:r>
            <w:r>
              <w:t xml:space="preserve">✓</w:t>
            </w:r>
            <w:r>
              <w:t xml:space="preserve"> </w:t>
            </w:r>
            <w:r>
              <w:rPr>
                <w:b/>
                <w:bCs/>
              </w:rPr>
              <w:t xml:space="preserve">Appropriate color scheme</w:t>
            </w:r>
            <w:r>
              <w:t xml:space="preserve"> </w:t>
            </w:r>
            <w:r>
              <w:t xml:space="preserve">(colorblind-friendly)</w:t>
            </w:r>
            <w:r>
              <w:br/>
            </w:r>
            <w:r>
              <w:t xml:space="preserve">✓</w:t>
            </w:r>
            <w:r>
              <w:t xml:space="preserve"> </w:t>
            </w:r>
            <w:r>
              <w:rPr>
                <w:b/>
                <w:bCs/>
              </w:rPr>
              <w:t xml:space="preserve">Proper sizing</w:t>
            </w:r>
            <w:r>
              <w:t xml:space="preserve"> </w:t>
            </w:r>
            <w:r>
              <w:t xml:space="preserve">(readable text, not too small/large)</w:t>
            </w:r>
            <w:r>
              <w:br/>
            </w:r>
            <w:r>
              <w:t xml:space="preserve">✓</w:t>
            </w:r>
            <w:r>
              <w:t xml:space="preserve"> </w:t>
            </w:r>
            <w:r>
              <w:rPr>
                <w:b/>
                <w:bCs/>
              </w:rPr>
              <w:t xml:space="preserve">Figure caption</w:t>
            </w:r>
            <w:r>
              <w:t xml:space="preserve"> </w:t>
            </w:r>
            <w:r>
              <w:t xml:space="preserve">using</w:t>
            </w:r>
            <w:r>
              <w:t xml:space="preserve"> </w:t>
            </w:r>
            <w:r>
              <w:rPr>
                <w:rStyle w:val="VerbatimChar"/>
              </w:rPr>
              <w:t xml:space="preserve">fig-cap</w:t>
            </w:r>
            <w:r>
              <w:t xml:space="preserve"> </w:t>
            </w:r>
            <w:r>
              <w:t xml:space="preserve">option</w:t>
            </w:r>
          </w:p>
          <w:p>
            <w:pPr>
              <w:pStyle w:val="BodyText"/>
            </w:pPr>
            <w:pPr>
              <w:spacing w:after="16"/>
            </w:pPr>
            <w:r>
              <w:rPr>
                <w:b/>
                <w:bCs/>
              </w:rPr>
              <w:t xml:space="preserve">Poor plots = Poor grades!</w:t>
            </w:r>
            <w:r>
              <w:t xml:space="preserve"> </w:t>
            </w:r>
            <w:r>
              <w:t xml:space="preserve">Take time to make your visualizations publication-quality.</w:t>
            </w:r>
          </w:p>
          <w:p/>
        </w:tc>
      </w:tr>
    </w:tbl>
    <w:bookmarkStart w:id="88" w:name="correlation-analysis"/>
    <w:p>
      <w:pPr>
        <w:pStyle w:val="Heading2"/>
      </w:pPr>
      <w:r>
        <w:t xml:space="preserve">Correlation Analysis</w:t>
      </w:r>
    </w:p>
    <w:bookmarkEnd w:id="88"/>
    <w:p>
      <w:pPr>
        <w:pStyle w:val="Heading2"/>
      </w:pPr>
      <w:r>
        <w:t xml:space="preserve">Correlation Heatmap</w:t>
      </w:r>
    </w:p>
    <w:tbl>
      <w:tblPr>
        <w:tblStyle w:val="Table"/>
        <w:tblW w:type="pct" w:w="5000"/>
        <w:tblLayout w:type="fixed"/>
        <w:tblLook w:firstRow="0" w:lastRow="0" w:firstColumn="0" w:lastColumn="0" w:noHBand="0" w:noVBand="0" w:val="0000"/>
      </w:tblPr>
      <w:tblGrid>
        <w:gridCol w:w="7920"/>
      </w:tblGrid>
      <w:tr>
        <w:tc>
          <w:tcPr/>
          <w:bookmarkStart w:id="92" w:name="fig-correlation-matrix"/>
          <w:p>
            <w:pPr>
              <w:pStyle w:val="Compact"/>
              <w:jc w:val="center"/>
            </w:pPr>
            <w:r>
              <w:drawing>
                <wp:inline>
                  <wp:extent cx="5334000" cy="4746000"/>
                  <wp:effectExtent b="0" l="0" r="0" t="0"/>
                  <wp:docPr descr="" title="" id="90" name="Picture"/>
                  <a:graphic>
                    <a:graphicData uri="http://schemas.openxmlformats.org/drawingml/2006/picture">
                      <pic:pic>
                        <pic:nvPicPr>
                          <pic:cNvPr descr="report_files/figure-docx/fig-correlation-matrix-output-1.png" id="91" name="Picture"/>
                          <pic:cNvPicPr>
                            <a:picLocks noChangeArrowheads="1" noChangeAspect="1"/>
                          </pic:cNvPicPr>
                        </pic:nvPicPr>
                        <pic:blipFill>
                          <a:blip r:embed="rId89"/>
                          <a:stretch>
                            <a:fillRect/>
                          </a:stretch>
                        </pic:blipFill>
                        <pic:spPr bwMode="auto">
                          <a:xfrm>
                            <a:off x="0" y="0"/>
                            <a:ext cx="5334000" cy="474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Correlation matrix showing relationships between numeric variables</w:t>
            </w:r>
          </w:p>
          <w:bookmarkEnd w:id="92"/>
        </w:tc>
      </w:tr>
    </w:tbl>
    <w:p>
      <w:pPr>
        <w:pStyle w:val="Heading2"/>
      </w:pPr>
      <w:r>
        <w:t xml:space="preserve">Scatter Plot</w:t>
      </w:r>
    </w:p>
    <w:tbl>
      <w:tblPr>
        <w:tblStyle w:val="Table"/>
        <w:tblW w:type="pct" w:w="5000"/>
        <w:tblLayout w:type="fixed"/>
        <w:tblLook w:firstRow="0" w:lastRow="0" w:firstColumn="0" w:lastColumn="0" w:noHBand="0" w:noVBand="0" w:val="0000"/>
      </w:tblPr>
      <w:tblGrid>
        <w:gridCol w:w="7920"/>
      </w:tblGrid>
      <w:tr>
        <w:tc>
          <w:tcPr/>
          <w:bookmarkStart w:id="96" w:name="fig-scatter-experience-performance"/>
          <w:p>
            <w:pPr>
              <w:pStyle w:val="Compact"/>
              <w:jc w:val="center"/>
            </w:pPr>
            <w:r>
              <w:drawing>
                <wp:inline>
                  <wp:extent cx="5334000" cy="3287398"/>
                  <wp:effectExtent b="0" l="0" r="0" t="0"/>
                  <wp:docPr descr="" title="" id="94" name="Picture"/>
                  <a:graphic>
                    <a:graphicData uri="http://schemas.openxmlformats.org/drawingml/2006/picture">
                      <pic:pic>
                        <pic:nvPicPr>
                          <pic:cNvPr descr="report_files/figure-docx/fig-scatter-experience-performance-output-1.png" id="95" name="Picture"/>
                          <pic:cNvPicPr>
                            <a:picLocks noChangeArrowheads="1" noChangeAspect="1"/>
                          </pic:cNvPicPr>
                        </pic:nvPicPr>
                        <pic:blipFill>
                          <a:blip r:embed="rId93"/>
                          <a:stretch>
                            <a:fillRect/>
                          </a:stretch>
                        </pic:blipFill>
                        <pic:spPr bwMode="auto">
                          <a:xfrm>
                            <a:off x="0" y="0"/>
                            <a:ext cx="5334000" cy="328739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Scatter plot showing positive relationship between experience and performance</w:t>
            </w:r>
          </w:p>
          <w:bookmarkEnd w:id="96"/>
        </w:tc>
      </w:tr>
    </w:tbl>
    <w:bookmarkStart w:id="104" w:name="key-findings"/>
    <w:p>
      <w:pPr>
        <w:pStyle w:val="Heading2"/>
      </w:pPr>
      <w:r>
        <w:t xml:space="preserve">Key Findings</w:t>
      </w:r>
    </w:p>
    <w:p>
      <w:pPr>
        <w:pStyle w:val="FirstParagraph"/>
      </w:pPr>
      <w:r>
        <w:rPr>
          <w:b/>
          <w:bCs/>
        </w:rPr>
        <w:t xml:space="preserve">Remember: Interpretation is more important than the plots themselves!</w:t>
      </w:r>
      <w:r>
        <w:t xml:space="preserve"> </w:t>
      </w:r>
      <w:r>
        <w:t xml:space="preserve">Each finding below not only states</w:t>
      </w:r>
      <w:r>
        <w:t xml:space="preserve"> </w:t>
      </w:r>
      <w:r>
        <w:rPr>
          <w:i/>
          <w:iCs/>
        </w:rPr>
        <w:t xml:space="preserve">what</w:t>
      </w:r>
      <w:r>
        <w:t xml:space="preserve"> </w:t>
      </w:r>
      <w:r>
        <w:t xml:space="preserve">we observe but also</w:t>
      </w:r>
      <w:r>
        <w:t xml:space="preserve"> </w:t>
      </w:r>
      <w:r>
        <w:rPr>
          <w:i/>
          <w:iCs/>
        </w:rPr>
        <w:t xml:space="preserve">why</w:t>
      </w:r>
      <w:r>
        <w:t xml:space="preserve"> </w:t>
      </w:r>
      <w:r>
        <w:t xml:space="preserve">it matters and</w:t>
      </w:r>
      <w:r>
        <w:t xml:space="preserve"> </w:t>
      </w:r>
      <w:r>
        <w:rPr>
          <w:i/>
          <w:iCs/>
        </w:rPr>
        <w:t xml:space="preserve">what</w:t>
      </w:r>
      <w:r>
        <w:t xml:space="preserve"> </w:t>
      </w:r>
      <w:r>
        <w:t xml:space="preserve">it means for our analysis.</w:t>
      </w:r>
    </w:p>
    <w:p>
      <w:pPr>
        <w:pStyle w:val="BodyText"/>
      </w:pPr>
      <w:r>
        <w:t xml:space="preserve">Summarize the main insights from your exploratory analysis.</w:t>
      </w:r>
      <w:r>
        <w:t xml:space="preserve"> </w:t>
      </w:r>
      <w:r>
        <w:rPr>
          <w:b/>
          <w:bCs/>
        </w:rPr>
        <w:t xml:space="preserve">Always reference your figures when discussing findings and provide thorough interpretation!</w:t>
      </w:r>
    </w:p>
    <w:p>
      <w:pPr>
        <w:numPr>
          <w:ilvl w:val="0"/>
          <w:numId w:val="1028"/>
        </w:numPr>
      </w:pPr>
      <w:r>
        <w:rPr>
          <w:b/>
          <w:bCs/>
        </w:rPr>
        <w:t xml:space="preserve">Distribution patterns</w:t>
      </w:r>
      <w:r>
        <w:t xml:space="preserve">: The performance scores shown in</w:t>
      </w:r>
      <w:r>
        <w:t xml:space="preserve"> </w:t>
      </w:r>
      <w:hyperlink w:anchor="fig-performance-dist">
        <w:r>
          <w:rPr>
            <w:rStyle w:val="Hyperlink"/>
          </w:rPr>
          <w:t xml:space="preserve">Figure 2</w:t>
        </w:r>
      </w:hyperlink>
      <w:r>
        <w:t xml:space="preserve"> </w:t>
      </w:r>
      <w:r>
        <w:t xml:space="preserve">follow an approximately normal distribution with a mean of 0.90 and standard deviation of 0.05.</w:t>
      </w:r>
    </w:p>
    <w:p>
      <w:pPr>
        <w:numPr>
          <w:ilvl w:val="0"/>
          <w:numId w:val="1000"/>
        </w:numPr>
      </w:pPr>
      <w:r>
        <w:rPr>
          <w:b/>
          <w:bCs/>
        </w:rPr>
        <w:t xml:space="preserve">Interpretation</w:t>
      </w:r>
      <w:r>
        <w:t xml:space="preserve">: This normal distribution suggests that most students perform around the average, with fewer students at the extremes (very high or very low scores). The relatively small standard deviation indicates consistent performance across the group. This pattern is typical in educational settings and suggests that the assessment was well-calibrated meaning not too easy (which would cause ceiling effects) nor too difficult (which would cause floor effects). The normality assumption also validates the use of parametric statistical tests for subsequent analyses.</w:t>
      </w:r>
    </w:p>
    <w:p>
      <w:pPr>
        <w:numPr>
          <w:ilvl w:val="0"/>
          <w:numId w:val="1028"/>
        </w:numPr>
      </w:pPr>
      <w:r>
        <w:rPr>
          <w:b/>
          <w:bCs/>
        </w:rPr>
        <w:t xml:space="preserve">Outliers and data quality</w:t>
      </w:r>
      <w:r>
        <w:t xml:space="preserve">: The box plot (</w:t>
      </w:r>
      <w:hyperlink w:anchor="fig-performance-box">
        <w:r>
          <w:rPr>
            <w:rStyle w:val="Hyperlink"/>
          </w:rPr>
          <w:t xml:space="preserve">Figure 3</w:t>
        </w:r>
      </w:hyperlink>
      <w:r>
        <w:t xml:space="preserve">) reveals minimal outliers, with only a few observations falling below the lower whisker.</w:t>
      </w:r>
    </w:p>
    <w:p>
      <w:pPr>
        <w:numPr>
          <w:ilvl w:val="0"/>
          <w:numId w:val="1000"/>
        </w:numPr>
      </w:pPr>
      <w:r>
        <w:rPr>
          <w:b/>
          <w:bCs/>
        </w:rPr>
        <w:t xml:space="preserve">Interpretation</w:t>
      </w:r>
      <w:r>
        <w:t xml:space="preserve">: The scarcity of outliers suggests good data quality and consistent measurement. The few low-performing outliers warrant further investigation - they could represent students who faced unusual circumstances or measurement errors. However, their small number means they are unlikely to significantly impact our overall conclusions. This finding gives us confidence in proceeding with the full dataset without extensive outlier removal.</w:t>
      </w:r>
    </w:p>
    <w:p>
      <w:pPr>
        <w:numPr>
          <w:ilvl w:val="0"/>
          <w:numId w:val="1028"/>
        </w:numPr>
      </w:pPr>
      <w:r>
        <w:rPr>
          <w:b/>
          <w:bCs/>
        </w:rPr>
        <w:t xml:space="preserve">Group differences</w:t>
      </w:r>
      <w:r>
        <w:t xml:space="preserve">:</w:t>
      </w:r>
      <w:r>
        <w:t xml:space="preserve"> </w:t>
      </w:r>
      <w:hyperlink w:anchor="fig-performance-by-instructor">
        <w:r>
          <w:rPr>
            <w:rStyle w:val="Hyperlink"/>
          </w:rPr>
          <w:t xml:space="preserve">Figure 4</w:t>
        </w:r>
      </w:hyperlink>
      <w:r>
        <w:t xml:space="preserve"> </w:t>
      </w:r>
      <w:r>
        <w:t xml:space="preserve">demonstrates noticeable variation in performance across different instructors, with some instructors showing higher median scores than others. The ANOVA test (</w:t>
      </w:r>
      <w:hyperlink w:anchor="tbl-anova-test">
        <w:r>
          <w:rPr>
            <w:rStyle w:val="Hyperlink"/>
          </w:rPr>
          <w:t xml:space="preserve">Table 2</w:t>
        </w:r>
      </w:hyperlink>
      <w:r>
        <w:t xml:space="preserve">) confirms these differences are not statistically significant (p ≥ 0.05).</w:t>
      </w:r>
    </w:p>
    <w:p>
      <w:pPr>
        <w:numPr>
          <w:ilvl w:val="0"/>
          <w:numId w:val="1000"/>
        </w:numPr>
      </w:pPr>
      <w:r>
        <w:rPr>
          <w:b/>
          <w:bCs/>
        </w:rPr>
        <w:t xml:space="preserve">Interpretation</w:t>
      </w:r>
      <w:r>
        <w:t xml:space="preserve">: The lack of significant differences suggests that instructor assignment does not substantially impact performance, or that grading standards are well-harmonized across sections. It also indicates that comparing students across different sections requires careful consideration. From a policy perspective, this might warrant investigating whether certain teaching methods are more effective or whether grading standards need to be harmonized across sections.</w:t>
      </w:r>
    </w:p>
    <w:p>
      <w:pPr>
        <w:numPr>
          <w:ilvl w:val="0"/>
          <w:numId w:val="1028"/>
        </w:numPr>
      </w:pPr>
      <w:r>
        <w:rPr>
          <w:b/>
          <w:bCs/>
        </w:rPr>
        <w:t xml:space="preserve">Relationships</w:t>
      </w:r>
      <w:r>
        <w:t xml:space="preserve">: The correlation matrix (</w:t>
      </w:r>
      <w:hyperlink w:anchor="fig-correlation-matrix">
        <w:r>
          <w:rPr>
            <w:rStyle w:val="Hyperlink"/>
          </w:rPr>
          <w:t xml:space="preserve">Figure 5</w:t>
        </w:r>
      </w:hyperlink>
      <w:r>
        <w:t xml:space="preserve">) reveals several interesting patterns:</w:t>
      </w:r>
    </w:p>
    <w:p>
      <w:pPr>
        <w:pStyle w:val="Compact"/>
        <w:numPr>
          <w:ilvl w:val="1"/>
          <w:numId w:val="1029"/>
        </w:numPr>
      </w:pPr>
      <w:r>
        <w:t xml:space="preserve">Strong positive correlation (r = 0.87) between Experience and Salary</w:t>
      </w:r>
    </w:p>
    <w:p>
      <w:pPr>
        <w:pStyle w:val="Compact"/>
        <w:numPr>
          <w:ilvl w:val="1"/>
          <w:numId w:val="1029"/>
        </w:numPr>
      </w:pPr>
      <w:r>
        <w:t xml:space="preserve">Moderate positive correlation (r = 0.70) between Experience and Performance</w:t>
      </w:r>
    </w:p>
    <w:p>
      <w:pPr>
        <w:pStyle w:val="Compact"/>
        <w:numPr>
          <w:ilvl w:val="1"/>
          <w:numId w:val="1029"/>
        </w:numPr>
      </w:pPr>
      <w:r>
        <w:t xml:space="preserve">Weak correlation (r = -0.04) between Age and Performance</w:t>
      </w:r>
    </w:p>
    <w:p>
      <w:pPr>
        <w:numPr>
          <w:ilvl w:val="0"/>
          <w:numId w:val="1000"/>
        </w:numPr>
      </w:pPr>
      <w:r>
        <w:rPr>
          <w:b/>
          <w:bCs/>
        </w:rPr>
        <w:t xml:space="preserve">Interpretation</w:t>
      </w:r>
      <w:r>
        <w:t xml:space="preserve">: The Experience-Salary correlation aligns with economic theory that experience is rewarded in labor markets. The Experience-Performance correlation suggests that experience contributes to better performance, though other factors clearly matter as well. Interestingly, Age shows minimal correlation with Performance, suggesting that chronological age alone doesn’t predict success - what matters is relevant experience. These patterns will guide our variable selection for predictive modeling, favoring Experience over Age as a key predictor.</w:t>
      </w:r>
    </w:p>
    <w:p>
      <w:pPr>
        <w:numPr>
          <w:ilvl w:val="0"/>
          <w:numId w:val="1028"/>
        </w:numPr>
      </w:pPr>
      <w:r>
        <w:rPr>
          <w:b/>
          <w:bCs/>
        </w:rPr>
        <w:t xml:space="preserve">Experience-Performance relationship</w:t>
      </w:r>
      <w:r>
        <w:t xml:space="preserve">:</w:t>
      </w:r>
      <w:r>
        <w:t xml:space="preserve"> </w:t>
      </w:r>
      <w:hyperlink w:anchor="fig-scatter-experience-performance">
        <w:r>
          <w:rPr>
            <w:rStyle w:val="Hyperlink"/>
          </w:rPr>
          <w:t xml:space="preserve">Figure 6</w:t>
        </w:r>
      </w:hyperlink>
      <w:r>
        <w:t xml:space="preserve"> </w:t>
      </w:r>
      <w:r>
        <w:t xml:space="preserve">clearly shows a positive linear relationship, with more experienced individuals tending to have higher performance scores. The correlation coefficient is 0.70.</w:t>
      </w:r>
    </w:p>
    <w:p>
      <w:pPr>
        <w:numPr>
          <w:ilvl w:val="0"/>
          <w:numId w:val="1000"/>
        </w:numPr>
      </w:pPr>
      <w:r>
        <w:rPr>
          <w:b/>
          <w:bCs/>
        </w:rPr>
        <w:t xml:space="preserve">Interpretation</w:t>
      </w:r>
      <w:r>
        <w:t xml:space="preserve">: The linear relationship visible in the scatter plot confirms that experience has a consistent, positive effect on performance. However, the substantial scatter around the regression line indicates that experience alone doesn’t determine performance - individual differences and other factors play important roles. This suggests that while experience is valuable, organizations shouldn’t rely solely on it when making hiring or promotion decisions.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warning.png" id="99" name="Picture"/>
                          <pic:cNvPicPr>
                            <a:picLocks noChangeArrowheads="1" noChangeAspect="1"/>
                          </pic:cNvPicPr>
                        </pic:nvPicPr>
                        <pic:blipFill>
                          <a:blip r:embed="rId9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Mistakes in Interpretation</w:t>
            </w:r>
          </w:p>
        </w:tc>
      </w:tr>
      <w:tr>
        <w:trPr>
          <w:cantSplit/>
        </w:trPr>
        <w:tc>
          <w:tcPr>
            <w:tcMar>
              <w:top w:w="108" w:type="dxa"/>
              <w:bottom w:w="108" w:type="dxa"/>
            </w:tcMar>
          </w:tcPr>
          <w:p>
            <w:pPr>
              <w:pStyle w:val="BodyText"/>
            </w:pPr>
            <w:pPr>
              <w:spacing w:before="16"/>
            </w:pPr>
            <w:r>
              <w:rPr>
                <w:b/>
                <w:bCs/>
              </w:rPr>
              <w:t xml:space="preserve">Observation (not interpretation):</w:t>
            </w:r>
            <w:r>
              <w:t xml:space="preserve"> </w:t>
            </w:r>
            <w:r>
              <w:t xml:space="preserve">“The histogram shows a normal distribution.”</w:t>
            </w:r>
            <w:r>
              <w:br/>
            </w:r>
            <w:r>
              <w:rPr>
                <w:b/>
                <w:bCs/>
              </w:rPr>
              <w:t xml:space="preserve">Why it’s insufficient:</w:t>
            </w:r>
            <w:r>
              <w:t xml:space="preserve"> </w:t>
            </w:r>
            <w:r>
              <w:t xml:space="preserve">This only describes what you see - it’s an observation, not an interpretation. You need to explain what it</w:t>
            </w:r>
            <w:r>
              <w:t xml:space="preserve"> </w:t>
            </w:r>
            <w:r>
              <w:rPr>
                <w:i/>
                <w:iCs/>
              </w:rPr>
              <w:t xml:space="preserve">means</w:t>
            </w:r>
            <w:r>
              <w:t xml:space="preserve"> </w:t>
            </w:r>
            <w:r>
              <w:t xml:space="preserve">and</w:t>
            </w:r>
            <w:r>
              <w:t xml:space="preserve"> </w:t>
            </w:r>
            <w:r>
              <w:rPr>
                <w:i/>
                <w:iCs/>
              </w:rPr>
              <w:t xml:space="preserve">why it matters</w:t>
            </w:r>
            <w:r>
              <w:t xml:space="preserve">.</w:t>
            </w:r>
          </w:p>
          <w:p>
            <w:pPr>
              <w:pStyle w:val="BodyText"/>
            </w:pPr>
            <w:r>
              <w:rPr>
                <w:b/>
                <w:bCs/>
              </w:rPr>
              <w:t xml:space="preserve">Good interpretation (observation + story):</w:t>
            </w:r>
            <w:r>
              <w:t xml:space="preserve"> </w:t>
            </w:r>
            <w:r>
              <w:t xml:space="preserve">“The histogram shows a normal distribution (mean = 0.90, sd = 0.05), which indicates consistent performance across students. This pattern validates the use of parametric statistical tests in our subsequent analysis. The tight distribution suggests the assessment was well-calibrated, effectively distinguishing between ability levels without ceiling or floor effects that would compress scores.”</w:t>
            </w:r>
          </w:p>
          <w:p>
            <w:pPr>
              <w:pStyle w:val="BodyText"/>
            </w:pPr>
            <w:r>
              <w:rPr>
                <w:b/>
                <w:bCs/>
              </w:rPr>
              <w:t xml:space="preserve">Remember:</w:t>
            </w:r>
          </w:p>
          <w:p>
            <w:pPr>
              <w:pStyle w:val="Compact"/>
              <w:numPr>
                <w:ilvl w:val="0"/>
                <w:numId w:val="1030"/>
              </w:numPr>
            </w:pPr>
            <w:r>
              <w:rPr>
                <w:b/>
                <w:bCs/>
              </w:rPr>
              <w:t xml:space="preserve">Observation</w:t>
            </w:r>
            <w:r>
              <w:t xml:space="preserve"> </w:t>
            </w:r>
            <w:r>
              <w:t xml:space="preserve">= What you see in the data/plot</w:t>
            </w:r>
          </w:p>
          <w:p>
            <w:pPr>
              <w:pStyle w:val="Compact"/>
              <w:numPr>
                <w:ilvl w:val="0"/>
                <w:numId w:val="1030"/>
              </w:numPr>
            </w:pPr>
            <w:r>
              <w:rPr>
                <w:b/>
                <w:bCs/>
              </w:rPr>
              <w:t xml:space="preserve">Interpretation</w:t>
            </w:r>
            <w:r>
              <w:t xml:space="preserve"> </w:t>
            </w:r>
            <w:r>
              <w:t xml:space="preserve">= The story behind it - what it means, why it matters, what implications it has</w:t>
            </w:r>
          </w:p>
          <w:p>
            <w:pPr>
              <w:pStyle w:val="Compact"/>
              <w:numPr>
                <w:ilvl w:val="0"/>
                <w:numId w:val="1030"/>
              </w:numPr>
            </w:pPr>
            <w:r>
              <w:rPr>
                <w:b/>
                <w:bCs/>
              </w:rPr>
              <w:t xml:space="preserve">Always do both!</w:t>
            </w:r>
            <w:r>
              <w:t xml:space="preserve"> </w:t>
            </w:r>
            <w:r>
              <w:t xml:space="preserve">State the observation, then interpret its significance.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warning.png" id="101" name="Picture"/>
                          <pic:cNvPicPr>
                            <a:picLocks noChangeArrowheads="1" noChangeAspect="1"/>
                          </pic:cNvPicPr>
                        </pic:nvPicPr>
                        <pic:blipFill>
                          <a:blip r:embed="rId9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Not Referencing Figures</w:t>
            </w:r>
          </w:p>
        </w:tc>
      </w:tr>
      <w:tr>
        <w:trPr>
          <w:cantSplit/>
        </w:trPr>
        <w:tc>
          <w:tcPr>
            <w:tcMar>
              <w:top w:w="108" w:type="dxa"/>
              <w:bottom w:w="108" w:type="dxa"/>
            </w:tcMar>
          </w:tcPr>
          <w:p>
            <w:pPr>
              <w:pStyle w:val="BodyText"/>
            </w:pPr>
            <w:pPr>
              <w:spacing w:before="16"/>
            </w:pPr>
            <w:r>
              <w:rPr>
                <w:b/>
                <w:bCs/>
              </w:rPr>
              <w:t xml:space="preserve">Bad:</w:t>
            </w:r>
            <w:r>
              <w:t xml:space="preserve"> </w:t>
            </w:r>
            <w:r>
              <w:t xml:space="preserve">“The histogram shows a normal distribution.”</w:t>
            </w:r>
            <w:r>
              <w:br/>
            </w:r>
            <w:r>
              <w:rPr>
                <w:b/>
                <w:bCs/>
              </w:rPr>
              <w:t xml:space="preserve">Good:</w:t>
            </w:r>
            <w:r>
              <w:t xml:space="preserve"> </w:t>
            </w:r>
            <w:r>
              <w:t xml:space="preserve">“As shown in</w:t>
            </w:r>
            <w:r>
              <w:t xml:space="preserve"> </w:t>
            </w:r>
            <w:hyperlink w:anchor="fig-performance-dist">
              <w:r>
                <w:rPr>
                  <w:rStyle w:val="Hyperlink"/>
                </w:rPr>
                <w:t xml:space="preserve">Figure 2</w:t>
              </w:r>
            </w:hyperlink>
            <w:r>
              <w:t xml:space="preserve">, the histogram reveals a normal distribution.”</w:t>
            </w:r>
          </w:p>
          <w:p>
            <w:pPr>
              <w:pStyle w:val="BodyText"/>
            </w:pPr>
            <w:r>
              <w:rPr>
                <w:b/>
                <w:bCs/>
              </w:rPr>
              <w:t xml:space="preserve">Why?</w:t>
            </w:r>
          </w:p>
          <w:p>
            <w:pPr>
              <w:pStyle w:val="Compact"/>
              <w:numPr>
                <w:ilvl w:val="0"/>
                <w:numId w:val="1031"/>
              </w:numPr>
            </w:pPr>
            <w:r>
              <w:t xml:space="preserve">Helps readers locate the relevant visualization</w:t>
            </w:r>
          </w:p>
          <w:p>
            <w:pPr>
              <w:pStyle w:val="Compact"/>
              <w:numPr>
                <w:ilvl w:val="0"/>
                <w:numId w:val="1031"/>
              </w:numPr>
            </w:pPr>
            <w:r>
              <w:t xml:space="preserve">Creates professional, academic-style writing</w:t>
            </w:r>
          </w:p>
          <w:p>
            <w:pPr>
              <w:pStyle w:val="Compact"/>
              <w:numPr>
                <w:ilvl w:val="0"/>
                <w:numId w:val="1031"/>
              </w:numPr>
            </w:pPr>
            <w:r>
              <w:t xml:space="preserve">Enables automatic figure numbering and links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tip.png" id="1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EDA to Analysis</w:t>
            </w:r>
          </w:p>
        </w:tc>
      </w:tr>
      <w:tr>
        <w:trPr>
          <w:cantSplit/>
        </w:trPr>
        <w:tc>
          <w:tcPr>
            <w:tcMar>
              <w:top w:w="108" w:type="dxa"/>
              <w:bottom w:w="108" w:type="dxa"/>
            </w:tcMar>
          </w:tcPr>
          <w:p>
            <w:pPr>
              <w:pStyle w:val="BodyText"/>
            </w:pPr>
            <w:pPr>
              <w:spacing w:before="16"/>
            </w:pPr>
            <w:r>
              <w:t xml:space="preserve">Use your EDA findings to:</w:t>
            </w:r>
          </w:p>
          <w:p>
            <w:pPr>
              <w:pStyle w:val="Compact"/>
              <w:numPr>
                <w:ilvl w:val="0"/>
                <w:numId w:val="1032"/>
              </w:numPr>
            </w:pPr>
            <w:r>
              <w:rPr>
                <w:b/>
                <w:bCs/>
              </w:rPr>
              <w:t xml:space="preserve">Refine research questions</w:t>
            </w:r>
            <w:r>
              <w:t xml:space="preserve"> </w:t>
            </w:r>
            <w:r>
              <w:t xml:space="preserve">based on observed patterns</w:t>
            </w:r>
          </w:p>
          <w:p>
            <w:pPr>
              <w:pStyle w:val="Compact"/>
              <w:numPr>
                <w:ilvl w:val="0"/>
                <w:numId w:val="1032"/>
              </w:numPr>
            </w:pPr>
            <w:r>
              <w:rPr>
                <w:b/>
                <w:bCs/>
              </w:rPr>
              <w:t xml:space="preserve">Select appropriate statistical methods</w:t>
            </w:r>
            <w:r>
              <w:t xml:space="preserve"> </w:t>
            </w:r>
            <w:r>
              <w:t xml:space="preserve">based on data distributions</w:t>
            </w:r>
          </w:p>
          <w:p>
            <w:pPr>
              <w:pStyle w:val="Compact"/>
              <w:numPr>
                <w:ilvl w:val="0"/>
                <w:numId w:val="1032"/>
              </w:numPr>
            </w:pPr>
            <w:r>
              <w:rPr>
                <w:b/>
                <w:bCs/>
              </w:rPr>
              <w:t xml:space="preserve">Identify variables</w:t>
            </w:r>
            <w:r>
              <w:t xml:space="preserve"> </w:t>
            </w:r>
            <w:r>
              <w:t xml:space="preserve">for inclusion in models</w:t>
            </w:r>
          </w:p>
          <w:p>
            <w:pPr>
              <w:pStyle w:val="Compact"/>
              <w:numPr>
                <w:ilvl w:val="0"/>
                <w:numId w:val="1032"/>
              </w:numPr>
            </w:pPr>
            <w:r>
              <w:rPr>
                <w:b/>
                <w:bCs/>
              </w:rPr>
              <w:t xml:space="preserve">Justify transformations</w:t>
            </w:r>
            <w:r>
              <w:t xml:space="preserve"> </w:t>
            </w:r>
            <w:r>
              <w:t xml:space="preserve">(e.g., log transform for skewed data)</w:t>
            </w:r>
          </w:p>
          <w:p>
            <w:pPr>
              <w:pStyle w:val="Compact"/>
              <w:numPr>
                <w:ilvl w:val="0"/>
                <w:numId w:val="1032"/>
              </w:numPr>
            </w:pPr>
            <w:r>
              <w:rPr>
                <w:b/>
                <w:bCs/>
              </w:rPr>
              <w:t xml:space="preserve">Set expectations</w:t>
            </w:r>
            <w:r>
              <w:t xml:space="preserve"> </w:t>
            </w:r>
            <w:r>
              <w:t xml:space="preserve">for what you might find in formal analysis</w:t>
            </w:r>
          </w:p>
          <w:p/>
        </w:tc>
      </w:tr>
    </w:tbl>
    <w:bookmarkEnd w:id="104"/>
    <w:bookmarkEnd w:id="105"/>
    <w:bookmarkStart w:id="110" w:name="methods-optional-only-if-you-have-models"/>
    <w:p>
      <w:pPr>
        <w:pStyle w:val="Heading1"/>
      </w:pPr>
      <w:r>
        <w:t xml:space="preserve">Methods</w:t>
      </w:r>
      <w:r>
        <w:t xml:space="preserve"> </w:t>
      </w:r>
      <w:r>
        <w:rPr>
          <w:i/>
          <w:iCs/>
        </w:rPr>
        <w:t xml:space="preserve">(optional, only if you have models)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quarto/share/formats/docx/note.png" id="10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Include This Section</w:t>
            </w:r>
          </w:p>
        </w:tc>
      </w:tr>
      <w:tr>
        <w:trPr>
          <w:cantSplit/>
        </w:trPr>
        <w:tc>
          <w:tcPr>
            <w:tcMar>
              <w:top w:w="108" w:type="dxa"/>
              <w:bottom w:w="108" w:type="dxa"/>
            </w:tcMar>
          </w:tcPr>
          <w:p>
            <w:pPr>
              <w:pStyle w:val="BodyText"/>
            </w:pPr>
            <w:pPr>
              <w:spacing w:before="16"/>
            </w:pPr>
            <w:r>
              <w:t xml:space="preserve">Include a Methods section if you:</w:t>
            </w:r>
          </w:p>
          <w:p>
            <w:pPr>
              <w:pStyle w:val="Compact"/>
              <w:numPr>
                <w:ilvl w:val="0"/>
                <w:numId w:val="1033"/>
              </w:numPr>
            </w:pPr>
            <w:r>
              <w:t xml:space="preserve">Apply statistical models (linear regression, logistic regression, etc.)</w:t>
            </w:r>
          </w:p>
          <w:p>
            <w:pPr>
              <w:pStyle w:val="Compact"/>
              <w:numPr>
                <w:ilvl w:val="0"/>
                <w:numId w:val="1033"/>
              </w:numPr>
            </w:pPr>
            <w:r>
              <w:t xml:space="preserve">Perform hypothesis testing</w:t>
            </w:r>
          </w:p>
          <w:p>
            <w:pPr>
              <w:pStyle w:val="Compact"/>
              <w:numPr>
                <w:ilvl w:val="0"/>
                <w:numId w:val="1033"/>
              </w:numPr>
            </w:pPr>
            <w:r>
              <w:t xml:space="preserve">Use machine learning algorithms</w:t>
            </w:r>
          </w:p>
          <w:p>
            <w:pPr>
              <w:pStyle w:val="Compact"/>
              <w:numPr>
                <w:ilvl w:val="0"/>
                <w:numId w:val="1033"/>
              </w:numPr>
            </w:pPr>
            <w:r>
              <w:t xml:space="preserve">Conduct advanced statistical analyses</w:t>
            </w:r>
          </w:p>
          <w:p>
            <w:pPr>
              <w:pStyle w:val="FirstParagraph"/>
            </w:pPr>
            <w:pPr>
              <w:spacing w:after="16"/>
            </w:pPr>
            <w:r>
              <w:t xml:space="preserve">If your project is primarily exploratory (descriptive statistics and visualizations only), you can skip this section or keep it minimal.</w:t>
            </w:r>
          </w:p>
          <w:p/>
        </w:tc>
      </w:tr>
    </w:tbl>
    <w:p>
      <w:pPr>
        <w:pStyle w:val="BodyText"/>
      </w:pPr>
      <w:r>
        <w:t xml:space="preserve">Outline the statistical methods or models selected, along with the rationale for their selection.</w:t>
      </w:r>
    </w:p>
    <w:p>
      <w:pPr>
        <w:pStyle w:val="BodyText"/>
      </w:pPr>
      <w:r>
        <w:rPr>
          <w:b/>
          <w:bCs/>
        </w:rPr>
        <w:t xml:space="preserve">Important</w:t>
      </w:r>
      <w:r>
        <w:t xml:space="preserve">: Don’t just show model output,</w:t>
      </w:r>
      <w:r>
        <w:t xml:space="preserve"> </w:t>
      </w:r>
      <w:r>
        <w:rPr>
          <w:b/>
          <w:bCs/>
        </w:rPr>
        <w:t xml:space="preserve">explain your choices</w:t>
      </w:r>
      <w:r>
        <w:t xml:space="preserve">:</w:t>
      </w:r>
    </w:p>
    <w:p>
      <w:pPr>
        <w:pStyle w:val="Compact"/>
        <w:numPr>
          <w:ilvl w:val="0"/>
          <w:numId w:val="1034"/>
        </w:numPr>
      </w:pPr>
      <w:r>
        <w:rPr>
          <w:b/>
          <w:bCs/>
        </w:rPr>
        <w:t xml:space="preserve">Why</w:t>
      </w:r>
      <w:r>
        <w:t xml:space="preserve"> </w:t>
      </w:r>
      <w:r>
        <w:t xml:space="preserve">did you choose this particular method?</w:t>
      </w:r>
    </w:p>
    <w:p>
      <w:pPr>
        <w:pStyle w:val="Compact"/>
        <w:numPr>
          <w:ilvl w:val="0"/>
          <w:numId w:val="1034"/>
        </w:numPr>
      </w:pPr>
      <w:r>
        <w:rPr>
          <w:b/>
          <w:bCs/>
        </w:rPr>
        <w:t xml:space="preserve">What</w:t>
      </w:r>
      <w:r>
        <w:t xml:space="preserve"> </w:t>
      </w:r>
      <w:r>
        <w:t xml:space="preserve">assumptions does it make, and do your data meet them?</w:t>
      </w:r>
    </w:p>
    <w:p>
      <w:pPr>
        <w:pStyle w:val="Compact"/>
        <w:numPr>
          <w:ilvl w:val="0"/>
          <w:numId w:val="1034"/>
        </w:numPr>
      </w:pPr>
      <w:r>
        <w:rPr>
          <w:b/>
          <w:bCs/>
        </w:rPr>
        <w:t xml:space="preserve">How</w:t>
      </w:r>
      <w:r>
        <w:t xml:space="preserve"> </w:t>
      </w:r>
      <w:r>
        <w:t xml:space="preserve">does this method help answer your research questions?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quarto/share/formats/docx/important.png" id="10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110"/>
    <w:bookmarkStart w:id="113"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Your Discussion</w:t>
            </w:r>
          </w:p>
        </w:tc>
      </w:tr>
      <w:tr>
        <w:trPr>
          <w:cantSplit/>
        </w:trPr>
        <w:tc>
          <w:tcPr>
            <w:tcMar>
              <w:top w:w="108" w:type="dxa"/>
              <w:bottom w:w="108" w:type="dxa"/>
            </w:tcMar>
          </w:tcPr>
          <w:p>
            <w:pPr>
              <w:pStyle w:val="BodyText"/>
            </w:pPr>
            <w:pPr>
              <w:spacing w:before="16"/>
            </w:pPr>
            <w:r>
              <w:t xml:space="preserve">A good discussion:</w:t>
            </w:r>
          </w:p>
          <w:p>
            <w:pPr>
              <w:pStyle w:val="Compact"/>
              <w:numPr>
                <w:ilvl w:val="0"/>
                <w:numId w:val="1035"/>
              </w:numPr>
            </w:pPr>
            <w:r>
              <w:rPr>
                <w:b/>
                <w:bCs/>
              </w:rPr>
              <w:t xml:space="preserve">States the finding</w:t>
            </w:r>
            <w:r>
              <w:t xml:space="preserve"> </w:t>
            </w:r>
            <w:r>
              <w:t xml:space="preserve">clearly (reference tables/figures)</w:t>
            </w:r>
          </w:p>
          <w:p>
            <w:pPr>
              <w:pStyle w:val="Compact"/>
              <w:numPr>
                <w:ilvl w:val="0"/>
                <w:numId w:val="1035"/>
              </w:numPr>
            </w:pPr>
            <w:r>
              <w:rPr>
                <w:b/>
                <w:bCs/>
              </w:rPr>
              <w:t xml:space="preserve">Interprets the result</w:t>
            </w:r>
            <w:r>
              <w:t xml:space="preserve"> </w:t>
            </w:r>
            <w:r>
              <w:t xml:space="preserve">(what does it mean?)</w:t>
            </w:r>
          </w:p>
          <w:p>
            <w:pPr>
              <w:pStyle w:val="Compact"/>
              <w:numPr>
                <w:ilvl w:val="0"/>
                <w:numId w:val="1035"/>
              </w:numPr>
            </w:pPr>
            <w:r>
              <w:rPr>
                <w:b/>
                <w:bCs/>
              </w:rPr>
              <w:t xml:space="preserve">Connects to research questions</w:t>
            </w:r>
            <w:r>
              <w:t xml:space="preserve"> </w:t>
            </w:r>
            <w:r>
              <w:t xml:space="preserve">(how does it answer your questions?)</w:t>
            </w:r>
          </w:p>
          <w:p>
            <w:pPr>
              <w:pStyle w:val="Compact"/>
              <w:numPr>
                <w:ilvl w:val="0"/>
                <w:numId w:val="1035"/>
              </w:numPr>
            </w:pPr>
            <w:r>
              <w:rPr>
                <w:b/>
                <w:bCs/>
              </w:rPr>
              <w:t xml:space="preserve">Relates to domain knowledge</w:t>
            </w:r>
            <w:r>
              <w:t xml:space="preserve"> </w:t>
            </w:r>
            <w:r>
              <w:t xml:space="preserve">(does it align with theory or prior research?)</w:t>
            </w:r>
          </w:p>
          <w:p>
            <w:pPr>
              <w:pStyle w:val="Compact"/>
              <w:numPr>
                <w:ilvl w:val="0"/>
                <w:numId w:val="1035"/>
              </w:numPr>
            </w:pPr>
            <w:r>
              <w:rPr>
                <w:b/>
                <w:bCs/>
              </w:rPr>
              <w:t xml:space="preserve">Acknowledges limitations</w:t>
            </w:r>
            <w:r>
              <w:t xml:space="preserve"> </w:t>
            </w:r>
            <w:r>
              <w:t xml:space="preserve">(what are the caveats?)</w:t>
            </w:r>
          </w:p>
          <w:p>
            <w:pPr>
              <w:pStyle w:val="Compact"/>
              <w:numPr>
                <w:ilvl w:val="0"/>
                <w:numId w:val="1035"/>
              </w:numPr>
            </w:pPr>
            <w:r>
              <w:rPr>
                <w:b/>
                <w:bCs/>
              </w:rPr>
              <w:t xml:space="preserve">Suggests implications</w:t>
            </w:r>
            <w:r>
              <w:t xml:space="preserve"> </w:t>
            </w:r>
            <w:r>
              <w:t xml:space="preserve">(what should we do with this information?)</w:t>
            </w:r>
          </w:p>
          <w:p>
            <w:pPr>
              <w:pStyle w:val="FirstParagraph"/>
            </w:pPr>
            <w:pPr>
              <w:spacing w:after="16"/>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p/>
        </w:tc>
      </w:tr>
    </w:tbl>
    <w:bookmarkEnd w:id="113"/>
    <w:bookmarkStart w:id="125" w:name="conclusion"/>
    <w:p>
      <w:pPr>
        <w:pStyle w:val="Heading1"/>
      </w:pPr>
      <w:r>
        <w:t xml:space="preserve">Conclusion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of a Strong Conclusion</w:t>
            </w:r>
          </w:p>
        </w:tc>
      </w:tr>
      <w:tr>
        <w:trPr>
          <w:cantSplit/>
        </w:trPr>
        <w:tc>
          <w:tcPr>
            <w:tcMar>
              <w:top w:w="108" w:type="dxa"/>
              <w:bottom w:w="108" w:type="dxa"/>
            </w:tcMar>
          </w:tcPr>
          <w:p>
            <w:pPr>
              <w:pStyle w:val="BodyText"/>
            </w:pPr>
            <w:pPr>
              <w:spacing w:before="16"/>
            </w:pPr>
            <w:r>
              <w:t xml:space="preserve">A good conclusion section includes three key components:</w:t>
            </w:r>
          </w:p>
          <w:p>
            <w:pPr>
              <w:pStyle w:val="Compact"/>
              <w:numPr>
                <w:ilvl w:val="0"/>
                <w:numId w:val="1036"/>
              </w:numPr>
            </w:pPr>
            <w:r>
              <w:rPr>
                <w:b/>
                <w:bCs/>
              </w:rPr>
              <w:t xml:space="preserve">Summary</w:t>
            </w:r>
            <w:r>
              <w:t xml:space="preserve">: Recap your project goals, approach, and main findings</w:t>
            </w:r>
          </w:p>
          <w:p>
            <w:pPr>
              <w:pStyle w:val="Compact"/>
              <w:numPr>
                <w:ilvl w:val="0"/>
                <w:numId w:val="1036"/>
              </w:numPr>
            </w:pPr>
            <w:r>
              <w:rPr>
                <w:b/>
                <w:bCs/>
              </w:rPr>
              <w:t xml:space="preserve">Limitations</w:t>
            </w:r>
            <w:r>
              <w:t xml:space="preserve">: Honestly discuss constraints and potential weaknesses</w:t>
            </w:r>
          </w:p>
          <w:p>
            <w:pPr>
              <w:pStyle w:val="Compact"/>
              <w:numPr>
                <w:ilvl w:val="0"/>
                <w:numId w:val="1036"/>
              </w:numPr>
            </w:pPr>
            <w:r>
              <w:rPr>
                <w:b/>
                <w:bCs/>
              </w:rPr>
              <w:t xml:space="preserve">Future Work</w:t>
            </w:r>
            <w:r>
              <w:t xml:space="preserve">: Suggest concrete, specific next steps for extending the analysis</w:t>
            </w:r>
          </w:p>
          <w:p>
            <w:pPr>
              <w:pStyle w:val="FirstParagraph"/>
            </w:pPr>
            <w:pPr>
              <w:spacing w:after="16"/>
            </w:pPr>
            <w:r>
              <w:t xml:space="preserve">Each subsection should be substantial - avoid generic statements!</w:t>
            </w:r>
          </w:p>
          <w:p/>
        </w:tc>
      </w:tr>
    </w:tbl>
    <w:bookmarkStart w:id="118" w:name="summary"/>
    <w:p>
      <w:pPr>
        <w:pStyle w:val="Heading2"/>
      </w:pPr>
      <w:r>
        <w:t xml:space="preserve">Summary</w:t>
      </w:r>
    </w:p>
    <w:p>
      <w:pPr>
        <w:pStyle w:val="FirstParagraph"/>
      </w:pPr>
      <w:r>
        <w:rPr>
          <w:b/>
          <w:bCs/>
        </w:rPr>
        <w:t xml:space="preserve">Overview:</w:t>
      </w:r>
      <w:r>
        <w:t xml:space="preserve"> </w:t>
      </w:r>
      <w:r>
        <w:t xml:space="preserve">Summarize what has been achieved, including key insights from your analysis and EDA. This should be written so that someone reading only this section can understand your project and key findings without reading the entire report.</w:t>
      </w:r>
    </w:p>
    <w:p>
      <w:pPr>
        <w:pStyle w:val="BodyText"/>
      </w:pPr>
      <w:r>
        <w:rPr>
          <w:b/>
          <w:bCs/>
        </w:rPr>
        <w:t xml:space="preserve">What to include:</w:t>
      </w:r>
    </w:p>
    <w:p>
      <w:pPr>
        <w:pStyle w:val="Compact"/>
        <w:numPr>
          <w:ilvl w:val="0"/>
          <w:numId w:val="1037"/>
        </w:numPr>
      </w:pPr>
      <w:r>
        <w:t xml:space="preserve">Restate your research questions briefly</w:t>
      </w:r>
    </w:p>
    <w:p>
      <w:pPr>
        <w:pStyle w:val="Compact"/>
        <w:numPr>
          <w:ilvl w:val="0"/>
          <w:numId w:val="1037"/>
        </w:numPr>
      </w:pPr>
      <w:r>
        <w:t xml:space="preserve">Summarize your approach (data, methods)</w:t>
      </w:r>
    </w:p>
    <w:p>
      <w:pPr>
        <w:pStyle w:val="Compact"/>
        <w:numPr>
          <w:ilvl w:val="0"/>
          <w:numId w:val="1037"/>
        </w:numPr>
      </w:pPr>
      <w:r>
        <w:t xml:space="preserve">Highlight 3-5 main findings with their implications</w:t>
      </w:r>
    </w:p>
    <w:p>
      <w:pPr>
        <w:pStyle w:val="Compact"/>
        <w:numPr>
          <w:ilvl w:val="0"/>
          <w:numId w:val="1037"/>
        </w:numPr>
      </w:pPr>
      <w:r>
        <w:t xml:space="preserve">Connect findings back to your project goals</w:t>
      </w:r>
    </w:p>
    <w:p>
      <w:pPr>
        <w:pStyle w:val="FirstParagraph"/>
      </w:pPr>
      <w:r>
        <w:rPr>
          <w:b/>
          <w:bCs/>
        </w:rPr>
        <w:t xml:space="preserve">Length</w:t>
      </w:r>
      <w:r>
        <w:t xml:space="preserve">: Aim for 1-2 substantial paragraphs that synthesize your work.</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quarto/share/formats/docx/warning.png" id="117" name="Picture"/>
                          <pic:cNvPicPr>
                            <a:picLocks noChangeArrowheads="1" noChangeAspect="1"/>
                          </pic:cNvPicPr>
                        </pic:nvPicPr>
                        <pic:blipFill>
                          <a:blip r:embed="rId9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Too Vague</w:t>
            </w:r>
          </w:p>
        </w:tc>
      </w:tr>
      <w:tr>
        <w:trPr>
          <w:cantSplit/>
        </w:trPr>
        <w:tc>
          <w:tcPr>
            <w:tcMar>
              <w:top w:w="108" w:type="dxa"/>
              <w:bottom w:w="108" w:type="dxa"/>
            </w:tcMar>
          </w:tcPr>
          <w:p>
            <w:pPr>
              <w:pStyle w:val="BodyText"/>
            </w:pPr>
            <w:pPr>
              <w:spacing w:before="16"/>
            </w:pPr>
            <w:r>
              <w:rPr>
                <w:b/>
                <w:bCs/>
              </w:rPr>
              <w:t xml:space="preserve">Bad</w:t>
            </w:r>
            <w:r>
              <w:t xml:space="preserve">:</w:t>
            </w:r>
            <w:r>
              <w:t xml:space="preserve"> </w:t>
            </w:r>
            <w:r>
              <w:t xml:space="preserve">“We analyzed the data and found some interesting patterns.”</w:t>
            </w:r>
          </w:p>
          <w:p>
            <w:pPr>
              <w:pStyle w:val="BodyText"/>
            </w:pPr>
            <w:r>
              <w:rPr>
                <w:b/>
                <w:bCs/>
              </w:rPr>
              <w:t xml:space="preserve">Good</w:t>
            </w:r>
            <w:r>
              <w:t xml:space="preserve">:</w:t>
            </w:r>
            <w:r>
              <w:t xml:space="preserve"> </w:t>
            </w:r>
            <w:r>
              <w:t xml:space="preserve">“This project investigated the relationship between customer demographics and insurance claim frequencies using a dataset of 5,000 policyholders. Our exploratory analysis revealed that age and vehicle type were the strongest predictors of claim frequency, with older drivers (60+) filing 40% fewer claims than younger drivers (under 25). Logistic regression analysis identified three key risk factors: driver age, vehicle age, and urban vs rural location. These findings suggest that current pricing models may underweight geographic factors. For insurance practitioners, this implies that incorporating more granular location data could improve risk segmentation and reduce adverse selection.”</w:t>
            </w:r>
          </w:p>
          <w:p>
            <w:pPr>
              <w:pStyle w:val="BodyText"/>
            </w:pPr>
            <w:pPr>
              <w:spacing w:after="16"/>
            </w:pPr>
            <w:r>
              <w:rPr>
                <w:b/>
                <w:bCs/>
              </w:rPr>
              <w:t xml:space="preserve">Why it’s good</w:t>
            </w:r>
            <w:r>
              <w:t xml:space="preserve">: Specific about data, methods, key findings with concrete numbers, and practical implications.</w:t>
            </w:r>
          </w:p>
          <w:p/>
        </w:tc>
      </w:tr>
    </w:tbl>
    <w:bookmarkEnd w:id="118"/>
    <w:bookmarkStart w:id="121" w:name="limitations"/>
    <w:p>
      <w:pPr>
        <w:pStyle w:val="Heading2"/>
      </w:pPr>
      <w:r>
        <w:t xml:space="preserve">Limitations</w:t>
      </w:r>
    </w:p>
    <w:p>
      <w:pPr>
        <w:pStyle w:val="FirstParagraph"/>
      </w:pPr>
      <w:r>
        <w:t xml:space="preserve">Honestly discuss the constraints and potential weaknesses of your analysis.</w:t>
      </w:r>
      <w:r>
        <w:t xml:space="preserve"> </w:t>
      </w:r>
      <w:r>
        <w:rPr>
          <w:b/>
          <w:bCs/>
        </w:rPr>
        <w:t xml:space="preserve">Strong projects acknowledge limitations!</w:t>
      </w:r>
    </w:p>
    <w:p>
      <w:pPr>
        <w:pStyle w:val="BodyText"/>
      </w:pPr>
      <w:r>
        <w:rPr>
          <w:b/>
          <w:bCs/>
        </w:rPr>
        <w:t xml:space="preserve">Consider:</w:t>
      </w:r>
    </w:p>
    <w:p>
      <w:pPr>
        <w:pStyle w:val="Compact"/>
        <w:numPr>
          <w:ilvl w:val="0"/>
          <w:numId w:val="1038"/>
        </w:numPr>
      </w:pPr>
      <w:r>
        <w:rPr>
          <w:b/>
          <w:bCs/>
        </w:rPr>
        <w:t xml:space="preserve">Data limitations</w:t>
      </w:r>
      <w:r>
        <w:t xml:space="preserve">: Sample size, missing data, measurement issues, lack of certain variables</w:t>
      </w:r>
    </w:p>
    <w:p>
      <w:pPr>
        <w:pStyle w:val="Compact"/>
        <w:numPr>
          <w:ilvl w:val="0"/>
          <w:numId w:val="1038"/>
        </w:numPr>
      </w:pPr>
      <w:r>
        <w:rPr>
          <w:b/>
          <w:bCs/>
        </w:rPr>
        <w:t xml:space="preserve">Methodological limitations</w:t>
      </w:r>
      <w:r>
        <w:t xml:space="preserve">: Simplifying assumptions, choice of methods, inability to establish causation</w:t>
      </w:r>
    </w:p>
    <w:p>
      <w:pPr>
        <w:pStyle w:val="Compact"/>
        <w:numPr>
          <w:ilvl w:val="0"/>
          <w:numId w:val="1038"/>
        </w:numPr>
      </w:pPr>
      <w:r>
        <w:rPr>
          <w:b/>
          <w:bCs/>
        </w:rPr>
        <w:t xml:space="preserve">Scope limitations</w:t>
      </w:r>
      <w:r>
        <w:t xml:space="preserve">: Time constraints, focus on specific aspects only</w:t>
      </w:r>
    </w:p>
    <w:p>
      <w:pPr>
        <w:pStyle w:val="Compact"/>
        <w:numPr>
          <w:ilvl w:val="0"/>
          <w:numId w:val="1038"/>
        </w:numPr>
      </w:pPr>
      <w:r>
        <w:rPr>
          <w:b/>
          <w:bCs/>
        </w:rPr>
        <w:t xml:space="preserve">Generalizability</w:t>
      </w:r>
      <w:r>
        <w:t xml:space="preserve">: Can your findings apply beyond your specific dataset?</w:t>
      </w:r>
    </w:p>
    <w:p>
      <w:pPr>
        <w:pStyle w:val="FirstParagraph"/>
      </w:pPr>
      <w:r>
        <w:rPr>
          <w:b/>
          <w:bCs/>
        </w:rPr>
        <w:t xml:space="preserve">Be specific</w:t>
      </w:r>
      <w:r>
        <w:t xml:space="preserve">: Don’t just say</w:t>
      </w:r>
      <w:r>
        <w:t xml:space="preserve"> </w:t>
      </w:r>
      <w:r>
        <w:t xml:space="preserve">“small sample size”</w:t>
      </w:r>
      <w:r>
        <w:t xml:space="preserve"> </w:t>
      </w:r>
      <w:r>
        <w:t xml:space="preserve">- explain what impact this has on your conclusions.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Applications/quarto/share/formats/docx/important.png" id="12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Limitations Matter</w:t>
            </w:r>
          </w:p>
        </w:tc>
      </w:tr>
      <w:tr>
        <w:trPr>
          <w:cantSplit/>
        </w:trPr>
        <w:tc>
          <w:tcPr>
            <w:tcMar>
              <w:top w:w="108" w:type="dxa"/>
              <w:bottom w:w="108" w:type="dxa"/>
            </w:tcMar>
          </w:tcPr>
          <w:p>
            <w:pPr>
              <w:pStyle w:val="BodyText"/>
            </w:pPr>
            <w:pPr>
              <w:spacing w:before="16"/>
            </w:pPr>
            <w:r>
              <w:t xml:space="preserve">Acknowledging limitations shows:</w:t>
            </w:r>
          </w:p>
          <w:p>
            <w:pPr>
              <w:pStyle w:val="Compact"/>
              <w:numPr>
                <w:ilvl w:val="0"/>
                <w:numId w:val="1039"/>
              </w:numPr>
            </w:pPr>
            <w:r>
              <w:rPr>
                <w:b/>
                <w:bCs/>
              </w:rPr>
              <w:t xml:space="preserve">Critical thinking</w:t>
            </w:r>
            <w:r>
              <w:t xml:space="preserve">: You understand the boundaries of your analysis</w:t>
            </w:r>
          </w:p>
          <w:p>
            <w:pPr>
              <w:pStyle w:val="Compact"/>
              <w:numPr>
                <w:ilvl w:val="0"/>
                <w:numId w:val="1039"/>
              </w:numPr>
            </w:pPr>
            <w:r>
              <w:rPr>
                <w:b/>
                <w:bCs/>
              </w:rPr>
              <w:t xml:space="preserve">Scientific integrity</w:t>
            </w:r>
            <w:r>
              <w:t xml:space="preserve">: You’re honest about what your study can and cannot show</w:t>
            </w:r>
          </w:p>
          <w:p>
            <w:pPr>
              <w:pStyle w:val="Compact"/>
              <w:numPr>
                <w:ilvl w:val="0"/>
                <w:numId w:val="1039"/>
              </w:numPr>
            </w:pPr>
            <w:r>
              <w:rPr>
                <w:b/>
                <w:bCs/>
              </w:rPr>
              <w:t xml:space="preserve">Maturity</w:t>
            </w:r>
            <w:r>
              <w:t xml:space="preserve">: You recognize no analysis is perfect</w:t>
            </w:r>
          </w:p>
          <w:p>
            <w:pPr>
              <w:pStyle w:val="FirstParagraph"/>
            </w:pPr>
            <w:pPr>
              <w:spacing w:after="16"/>
            </w:pPr>
            <w:r>
              <w:rPr>
                <w:b/>
                <w:bCs/>
              </w:rPr>
              <w:t xml:space="preserve">This improves your grade</w:t>
            </w:r>
            <w:r>
              <w:t xml:space="preserve">, not reduces it! Instructors expect students to think critically about their work.</w:t>
            </w:r>
          </w:p>
          <w:p/>
        </w:tc>
      </w:tr>
    </w:tbl>
    <w:bookmarkEnd w:id="121"/>
    <w:bookmarkStart w:id="124" w:name="future-work"/>
    <w:p>
      <w:pPr>
        <w:pStyle w:val="Heading2"/>
      </w:pPr>
      <w:r>
        <w:t xml:space="preserve">Future Work</w:t>
      </w:r>
    </w:p>
    <w:p>
      <w:pPr>
        <w:pStyle w:val="FirstParagraph"/>
      </w:pPr>
      <w:r>
        <w:t xml:space="preserve">Outline specific next steps for extending or improving the analysis.</w:t>
      </w:r>
      <w:r>
        <w:t xml:space="preserve"> </w:t>
      </w:r>
      <w:r>
        <w:rPr>
          <w:b/>
          <w:bCs/>
        </w:rPr>
        <w:t xml:space="preserve">Be concrete and realistic.</w:t>
      </w:r>
    </w:p>
    <w:p>
      <w:pPr>
        <w:pStyle w:val="BodyText"/>
      </w:pPr>
      <w:r>
        <w:rPr>
          <w:b/>
          <w:bCs/>
        </w:rPr>
        <w:t xml:space="preserve">Good future work suggestions:</w:t>
      </w:r>
    </w:p>
    <w:p>
      <w:pPr>
        <w:pStyle w:val="Compact"/>
        <w:numPr>
          <w:ilvl w:val="0"/>
          <w:numId w:val="1040"/>
        </w:numPr>
      </w:pPr>
      <w:r>
        <w:rPr>
          <w:b/>
          <w:bCs/>
        </w:rPr>
        <w:t xml:space="preserve">Collect additional data</w:t>
      </w:r>
      <w:r>
        <w:t xml:space="preserve">:</w:t>
      </w:r>
      <w:r>
        <w:t xml:space="preserve"> </w:t>
      </w:r>
      <w:r>
        <w:t xml:space="preserve">“Gather data from additional semesters to increase sample size and assess temporal stability of instructor effects”</w:t>
      </w:r>
    </w:p>
    <w:p>
      <w:pPr>
        <w:pStyle w:val="Compact"/>
        <w:numPr>
          <w:ilvl w:val="0"/>
          <w:numId w:val="1040"/>
        </w:numPr>
      </w:pPr>
      <w:r>
        <w:rPr>
          <w:b/>
          <w:bCs/>
        </w:rPr>
        <w:t xml:space="preserve">Apply advanced methods</w:t>
      </w:r>
      <w:r>
        <w:t xml:space="preserve">:</w:t>
      </w:r>
      <w:r>
        <w:t xml:space="preserve"> </w:t>
      </w:r>
      <w:r>
        <w:t xml:space="preserve">“Implement mixed-effects models to account for nested data structure (students within instructors)”</w:t>
      </w:r>
    </w:p>
    <w:p>
      <w:pPr>
        <w:pStyle w:val="Compact"/>
        <w:numPr>
          <w:ilvl w:val="0"/>
          <w:numId w:val="1040"/>
        </w:numPr>
      </w:pPr>
      <w:r>
        <w:rPr>
          <w:b/>
          <w:bCs/>
        </w:rPr>
        <w:t xml:space="preserve">Test additional hypotheses</w:t>
      </w:r>
      <w:r>
        <w:t xml:space="preserve">:</w:t>
      </w:r>
      <w:r>
        <w:t xml:space="preserve"> </w:t>
      </w:r>
      <w:r>
        <w:t xml:space="preserve">“Examine whether instructor effects vary by student prior knowledge using interaction terms”</w:t>
      </w:r>
    </w:p>
    <w:p>
      <w:pPr>
        <w:pStyle w:val="Compact"/>
        <w:numPr>
          <w:ilvl w:val="0"/>
          <w:numId w:val="1040"/>
        </w:numPr>
      </w:pPr>
      <w:r>
        <w:rPr>
          <w:b/>
          <w:bCs/>
        </w:rPr>
        <w:t xml:space="preserve">Expand scope</w:t>
      </w:r>
      <w:r>
        <w:t xml:space="preserve">:</w:t>
      </w:r>
      <w:r>
        <w:t xml:space="preserve"> </w:t>
      </w:r>
      <w:r>
        <w:t xml:space="preserve">“Include qualitative data from student evaluations to understand mechanisms behind performance differences”</w:t>
      </w:r>
    </w:p>
    <w:p>
      <w:pPr>
        <w:pStyle w:val="FirstParagraph"/>
      </w:pPr>
      <w:r>
        <w:rPr>
          <w:b/>
          <w:bCs/>
        </w:rPr>
        <w:t xml:space="preserve">Avoid vague statements like:</w:t>
      </w:r>
    </w:p>
    <w:p>
      <w:pPr>
        <w:pStyle w:val="Compact"/>
        <w:numPr>
          <w:ilvl w:val="0"/>
          <w:numId w:val="1041"/>
        </w:numPr>
      </w:pPr>
      <w:r>
        <w:t xml:space="preserve">❌</w:t>
      </w:r>
      <w:r>
        <w:t xml:space="preserve"> </w:t>
      </w:r>
      <w:r>
        <w:t xml:space="preserve">“Get more data”</w:t>
      </w:r>
    </w:p>
    <w:p>
      <w:pPr>
        <w:pStyle w:val="Compact"/>
        <w:numPr>
          <w:ilvl w:val="0"/>
          <w:numId w:val="1041"/>
        </w:numPr>
      </w:pPr>
      <w:r>
        <w:t xml:space="preserve">❌</w:t>
      </w:r>
      <w:r>
        <w:t xml:space="preserve"> </w:t>
      </w:r>
      <w:r>
        <w:t xml:space="preserve">“Use more variables”</w:t>
      </w:r>
    </w:p>
    <w:p>
      <w:pPr>
        <w:pStyle w:val="Compact"/>
        <w:numPr>
          <w:ilvl w:val="0"/>
          <w:numId w:val="1041"/>
        </w:numPr>
      </w:pPr>
      <w:r>
        <w:t xml:space="preserve">❌</w:t>
      </w:r>
      <w:r>
        <w:t xml:space="preserve"> </w:t>
      </w:r>
      <w:r>
        <w:t xml:space="preserve">“Apply machine learning”</w:t>
      </w:r>
    </w:p>
    <w:p>
      <w:pPr>
        <w:pStyle w:val="FirstParagraph"/>
      </w:pPr>
      <w:r>
        <w:rPr>
          <w:b/>
          <w:bCs/>
        </w:rPr>
        <w:t xml:space="preserve">Instead, be specific about WHAT, WHY, and HOW:</w:t>
      </w:r>
    </w:p>
    <w:p>
      <w:pPr>
        <w:pStyle w:val="Compact"/>
        <w:numPr>
          <w:ilvl w:val="0"/>
          <w:numId w:val="1042"/>
        </w:numPr>
      </w:pPr>
      <w:r>
        <w:t xml:space="preserve">✅</w:t>
      </w:r>
      <w:r>
        <w:t xml:space="preserve"> </w:t>
      </w:r>
      <w:r>
        <w:t xml:space="preserve">“Collect data on student study hours to control for effort as a confounding variable, which would help isolate the true causal effect of instructor quality on performance”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quarto/share/formats/docx/tip.png" id="1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Connecting Everything</w:t>
            </w:r>
          </w:p>
        </w:tc>
      </w:tr>
      <w:tr>
        <w:trPr>
          <w:cantSplit/>
        </w:trPr>
        <w:tc>
          <w:tcPr>
            <w:tcMar>
              <w:top w:w="108" w:type="dxa"/>
              <w:bottom w:w="108" w:type="dxa"/>
            </w:tcMar>
          </w:tcPr>
          <w:p>
            <w:pPr>
              <w:pStyle w:val="BodyText"/>
            </w:pPr>
            <w:pPr>
              <w:spacing w:before="16"/>
            </w:pPr>
            <w:r>
              <w:t xml:space="preserve">Your conclusion should feel like a natural ending that:</w:t>
            </w:r>
          </w:p>
          <w:p>
            <w:pPr>
              <w:pStyle w:val="Compact"/>
              <w:numPr>
                <w:ilvl w:val="0"/>
                <w:numId w:val="1043"/>
              </w:numPr>
            </w:pPr>
            <w:r>
              <w:t xml:space="preserve">Circles back to your introduction (research questions)</w:t>
            </w:r>
          </w:p>
          <w:p>
            <w:pPr>
              <w:pStyle w:val="Compact"/>
              <w:numPr>
                <w:ilvl w:val="0"/>
                <w:numId w:val="1043"/>
              </w:numPr>
            </w:pPr>
            <w:r>
              <w:t xml:space="preserve">Synthesizes your findings from EDA and analysis</w:t>
            </w:r>
          </w:p>
          <w:p>
            <w:pPr>
              <w:pStyle w:val="Compact"/>
              <w:numPr>
                <w:ilvl w:val="0"/>
                <w:numId w:val="1043"/>
              </w:numPr>
            </w:pPr>
            <w:r>
              <w:t xml:space="preserve">Demonstrates you’ve thought deeply about your project</w:t>
            </w:r>
          </w:p>
          <w:p>
            <w:pPr>
              <w:pStyle w:val="Compact"/>
              <w:numPr>
                <w:ilvl w:val="0"/>
                <w:numId w:val="1043"/>
              </w:numPr>
            </w:pPr>
            <w:r>
              <w:t xml:space="preserve">Leaves readers with clear takeaways</w:t>
            </w:r>
          </w:p>
          <w:p>
            <w:pPr>
              <w:pStyle w:val="FirstParagraph"/>
            </w:pPr>
            <w:pPr>
              <w:spacing w:after="16"/>
            </w:pPr>
            <w:r>
              <w:rPr>
                <w:b/>
                <w:bCs/>
              </w:rPr>
              <w:t xml:space="preserve">A strong conclusion elevates your entire report!</w:t>
            </w:r>
          </w:p>
          <w:p/>
        </w:tc>
      </w:tr>
    </w:tbl>
    <w:bookmarkEnd w:id="124"/>
    <w:bookmarkEnd w:id="125"/>
    <w:bookmarkStart w:id="130" w:name="references"/>
    <w:p>
      <w:pPr>
        <w:pStyle w:val="Heading1"/>
      </w:pPr>
      <w:r>
        <w:t xml:space="preserve">References</w:t>
      </w:r>
    </w:p>
    <w:p>
      <w:pPr>
        <w:pStyle w:val="FirstParagraph"/>
      </w:pPr>
      <w:r>
        <w:t xml:space="preserve">(</w:t>
      </w:r>
      <w:r>
        <w:rPr>
          <w:b/>
          <w:bCs/>
        </w:rPr>
        <w:t xml:space="preserve">misc?</w:t>
      </w:r>
      <w:r>
        <w:t xml:space="preserve">)</w:t>
      </w:r>
      <w:r>
        <w:t xml:space="preserve">{nsw2020remote,</w:t>
      </w:r>
      <w:r>
        <w:t xml:space="preserve"> </w:t>
      </w:r>
      <w:r>
        <w:t xml:space="preserve">author = {{NSW Government}},</w:t>
      </w:r>
      <w:r>
        <w:t xml:space="preserve"> </w:t>
      </w:r>
      <w:r>
        <w:t xml:space="preserve">title = {Remote Working Survey 2020 Dataset},</w:t>
      </w:r>
      <w:r>
        <w:t xml:space="preserve"> </w:t>
      </w:r>
      <w:r>
        <w:t xml:space="preserve">year = {2020},</w:t>
      </w:r>
      <w:r>
        <w:t xml:space="preserve"> </w:t>
      </w:r>
      <w:r>
        <w:t xml:space="preserve">url = {https://data.nsw.gov.au/data/dataset/nsw-remote-working-survey},</w:t>
      </w:r>
      <w:r>
        <w:t xml:space="preserve"> </w:t>
      </w:r>
      <w:r>
        <w:t xml:space="preserve">}</w:t>
      </w:r>
    </w:p>
    <w:p>
      <w:pPr>
        <w:pStyle w:val="BodyText"/>
      </w:pPr>
      <w:r>
        <w:t xml:space="preserve">(</w:t>
      </w:r>
      <w:r>
        <w:rPr>
          <w:b/>
          <w:bCs/>
        </w:rPr>
        <w:t xml:space="preserve">misc?</w:t>
      </w:r>
      <w:r>
        <w:t xml:space="preserve">)</w:t>
      </w:r>
      <w:r>
        <w:t xml:space="preserve">{pandasDocs,</w:t>
      </w:r>
      <w:r>
        <w:t xml:space="preserve"> </w:t>
      </w:r>
      <w:r>
        <w:t xml:space="preserve">author = {{Pandas Documentation}},</w:t>
      </w:r>
      <w:r>
        <w:t xml:space="preserve"> </w:t>
      </w:r>
      <w:r>
        <w:t xml:space="preserve">title = {Pandas User Guide},</w:t>
      </w:r>
      <w:r>
        <w:t xml:space="preserve"> </w:t>
      </w:r>
      <w:r>
        <w:t xml:space="preserve">year = {n.d.},</w:t>
      </w:r>
      <w:r>
        <w:t xml:space="preserve"> </w:t>
      </w:r>
      <w:r>
        <w:t xml:space="preserve">url = {https://pandas.pydata.org/docs/},</w:t>
      </w:r>
      <w:r>
        <w:t xml:space="preserve"> </w:t>
      </w:r>
      <w:r>
        <w:t xml:space="preserve">}</w:t>
      </w:r>
    </w:p>
    <w:p>
      <w:pPr>
        <w:pStyle w:val="BodyText"/>
      </w:pPr>
      <w:r>
        <w:t xml:space="preserve">(</w:t>
      </w:r>
      <w:r>
        <w:rPr>
          <w:b/>
          <w:bCs/>
        </w:rPr>
        <w:t xml:space="preserve">misc?</w:t>
      </w:r>
      <w:r>
        <w:t xml:space="preserve">)</w:t>
      </w:r>
      <w:r>
        <w:t xml:space="preserve">{seabornDocs,</w:t>
      </w:r>
      <w:r>
        <w:t xml:space="preserve"> </w:t>
      </w:r>
      <w:r>
        <w:t xml:space="preserve">author = {{Seaborn Documentation}},</w:t>
      </w:r>
      <w:r>
        <w:t xml:space="preserve"> </w:t>
      </w:r>
      <w:r>
        <w:t xml:space="preserve">title = {Seaborn: Statistical Data Visualization},</w:t>
      </w:r>
      <w:r>
        <w:t xml:space="preserve"> </w:t>
      </w:r>
      <w:r>
        <w:t xml:space="preserve">year = {n.d.},</w:t>
      </w:r>
      <w:r>
        <w:t xml:space="preserve"> </w:t>
      </w:r>
      <w:r>
        <w:t xml:space="preserve">url = {https://seaborn.pydata.org/},</w:t>
      </w:r>
      <w:r>
        <w:t xml:space="preserve"> </w:t>
      </w:r>
      <w:r>
        <w:t xml:space="preserve">}</w:t>
      </w:r>
    </w:p>
    <w:p>
      <w:pPr>
        <w:pStyle w:val="BodyText"/>
      </w:pPr>
      <w:r>
        <w:t xml:space="preserve">(</w:t>
      </w:r>
      <w:r>
        <w:rPr>
          <w:b/>
          <w:bCs/>
        </w:rPr>
        <w:t xml:space="preserve">misc?</w:t>
      </w:r>
      <w:r>
        <w:t xml:space="preserve">)</w:t>
      </w:r>
      <w:r>
        <w:t xml:space="preserve">{matplotlibDocs,</w:t>
      </w:r>
      <w:r>
        <w:t xml:space="preserve"> </w:t>
      </w:r>
      <w:r>
        <w:t xml:space="preserve">author = {{Matplotlib Documentation}},</w:t>
      </w:r>
      <w:r>
        <w:t xml:space="preserve"> </w:t>
      </w:r>
      <w:r>
        <w:t xml:space="preserve">title = {Matplotlib: Visualization with Python},</w:t>
      </w:r>
      <w:r>
        <w:t xml:space="preserve"> </w:t>
      </w:r>
      <w:r>
        <w:t xml:space="preserve">year = {n.d.},</w:t>
      </w:r>
      <w:r>
        <w:t xml:space="preserve"> </w:t>
      </w:r>
      <w:r>
        <w:t xml:space="preserve">url = {https://matplotlib.org/stable/},</w:t>
      </w:r>
      <w:r>
        <w:t xml:space="preserve"> </w:t>
      </w:r>
      <w:r>
        <w:t xml:space="preserve">}</w:t>
      </w:r>
    </w:p>
    <w:p>
      <w:pPr>
        <w:pStyle w:val="BodyText"/>
      </w:pPr>
      <w:r>
        <w:t xml:space="preserve">(</w:t>
      </w:r>
      <w:r>
        <w:rPr>
          <w:b/>
          <w:bCs/>
        </w:rPr>
        <w:t xml:space="preserve">misc?</w:t>
      </w:r>
      <w:r>
        <w:t xml:space="preserve">)</w:t>
      </w:r>
      <w:r>
        <w:t xml:space="preserve">{quartoDocs,</w:t>
      </w:r>
      <w:r>
        <w:t xml:space="preserve"> </w:t>
      </w:r>
      <w:r>
        <w:t xml:space="preserve">author = {{Quarto Documentation}},</w:t>
      </w:r>
      <w:r>
        <w:t xml:space="preserve"> </w:t>
      </w:r>
      <w:r>
        <w:t xml:space="preserve">title = {Quarto Guide},</w:t>
      </w:r>
      <w:r>
        <w:t xml:space="preserve"> </w:t>
      </w:r>
      <w:r>
        <w:t xml:space="preserve">year = {n.d.},</w:t>
      </w:r>
      <w:r>
        <w:t xml:space="preserve"> </w:t>
      </w:r>
      <w:r>
        <w:t xml:space="preserve">url = {https://quarto.org/},</w:t>
      </w:r>
      <w:r>
        <w:t xml:space="preserve"> </w:t>
      </w:r>
      <w:r>
        <w:t xml:space="preserve">}</w:t>
      </w:r>
    </w:p>
    <w:p>
      <w:pPr>
        <w:pStyle w:val="BodyText"/>
      </w:pPr>
      <w:r>
        <w:t xml:space="preserve">(</w:t>
      </w:r>
      <w:r>
        <w:rPr>
          <w:b/>
          <w:bCs/>
        </w:rPr>
        <w:t xml:space="preserve">misc?</w:t>
      </w:r>
      <w:r>
        <w:t xml:space="preserve">)</w:t>
      </w:r>
      <w:r>
        <w:t xml:space="preserve">{joshi2015likert,</w:t>
      </w:r>
      <w:r>
        <w:t xml:space="preserve"> </w:t>
      </w:r>
      <w:r>
        <w:t xml:space="preserve">author = {Joshi, A. and Kale, S. and Chandel, S. and Pal, D. K.},</w:t>
      </w:r>
      <w:r>
        <w:t xml:space="preserve"> </w:t>
      </w:r>
      <w:r>
        <w:t xml:space="preserve">title = {Likert Scale: What it is &amp; How to Use It},</w:t>
      </w:r>
      <w:r>
        <w:t xml:space="preserve"> </w:t>
      </w:r>
      <w:r>
        <w:t xml:space="preserve">year = {2015},</w:t>
      </w:r>
      <w:r>
        <w:t xml:space="preserve"> </w:t>
      </w:r>
      <w:r>
        <w:t xml:space="preserve">url = {https://www.researchgate.net/publication/281874183_Likert_Scale_What_it_is_and_How_to_Use_It},</w:t>
      </w:r>
      <w:r>
        <w:t xml:space="preserve"> </w:t>
      </w:r>
      <w:r>
        <w:t xml:space="preserve">}</w:t>
      </w:r>
    </w:p>
    <w:p>
      <w:pPr>
        <w:pStyle w:val="BodyText"/>
      </w:pPr>
      <w:r>
        <w:t xml:space="preserve">(</w:t>
      </w:r>
      <w:r>
        <w:rPr>
          <w:b/>
          <w:bCs/>
        </w:rPr>
        <w:t xml:space="preserve">article?</w:t>
      </w:r>
      <w:r>
        <w:t xml:space="preserve">)</w:t>
      </w:r>
      <w:r>
        <w:t xml:space="preserve">{charalampous2022remote,</w:t>
      </w:r>
      <w:r>
        <w:t xml:space="preserve"> </w:t>
      </w:r>
      <w:r>
        <w:t xml:space="preserve">author = {Charalampous, M. and Grant, C. A. and Tramontano, C. and Michailidis, E.},</w:t>
      </w:r>
      <w:r>
        <w:t xml:space="preserve"> </w:t>
      </w:r>
      <w:r>
        <w:t xml:space="preserve">title = {Investigating the Role of Remote Working on Employees’ Performance and Well-Being: An Evidence-Based Systematic Review},</w:t>
      </w:r>
      <w:r>
        <w:t xml:space="preserve"> </w:t>
      </w:r>
      <w:r>
        <w:t xml:space="preserve">journal = {International Journal of Environmental Research and Public Health},</w:t>
      </w:r>
      <w:r>
        <w:t xml:space="preserve"> </w:t>
      </w:r>
      <w:r>
        <w:t xml:space="preserve">volume = {19},</w:t>
      </w:r>
      <w:r>
        <w:t xml:space="preserve"> </w:t>
      </w:r>
      <w:r>
        <w:t xml:space="preserve">number = {19},</w:t>
      </w:r>
      <w:r>
        <w:t xml:space="preserve"> </w:t>
      </w:r>
      <w:r>
        <w:t xml:space="preserve">pages = {12373},</w:t>
      </w:r>
      <w:r>
        <w:t xml:space="preserve"> </w:t>
      </w:r>
      <w:r>
        <w:t xml:space="preserve">year = {2022},</w:t>
      </w:r>
      <w:r>
        <w:t xml:space="preserve"> </w:t>
      </w:r>
      <w:r>
        <w:t xml:space="preserve">url = {https://pmc.ncbi.nlm.nih.gov/articles/PMC9566387/},</w:t>
      </w:r>
      <w:r>
        <w:t xml:space="preserve"> </w:t>
      </w:r>
      <w:r>
        <w:t xml:space="preserve">}</w:t>
      </w:r>
    </w:p>
    <w:p>
      <w:pPr>
        <w:pStyle w:val="BodyText"/>
      </w:pPr>
      <w:r>
        <w:t xml:space="preserve">(</w:t>
      </w:r>
      <w:r>
        <w:rPr>
          <w:b/>
          <w:bCs/>
        </w:rPr>
        <w:t xml:space="preserve">article?</w:t>
      </w:r>
      <w:r>
        <w:t xml:space="preserve">)</w:t>
      </w:r>
      <w:r>
        <w:t xml:space="preserve">{garcia2024wellbeing,</w:t>
      </w:r>
      <w:r>
        <w:t xml:space="preserve"> </w:t>
      </w:r>
      <w:r>
        <w:t xml:space="preserve">author = {García-Sánchez, E. and García-Sánchez, I. M.},</w:t>
      </w:r>
      <w:r>
        <w:t xml:space="preserve"> </w:t>
      </w:r>
      <w:r>
        <w:t xml:space="preserve">title = {Remote workers’ well-being: Are innovative organizations really concerned? A bibliometrics analysis},</w:t>
      </w:r>
      <w:r>
        <w:t xml:space="preserve"> </w:t>
      </w:r>
      <w:r>
        <w:t xml:space="preserve">journal = {Journal of Innovation &amp; Knowledge},</w:t>
      </w:r>
      <w:r>
        <w:t xml:space="preserve"> </w:t>
      </w:r>
      <w:r>
        <w:t xml:space="preserve">volume = {9},</w:t>
      </w:r>
      <w:r>
        <w:t xml:space="preserve"> </w:t>
      </w:r>
      <w:r>
        <w:t xml:space="preserve">number = {4},</w:t>
      </w:r>
      <w:r>
        <w:t xml:space="preserve"> </w:t>
      </w:r>
      <w:r>
        <w:t xml:space="preserve">pages = {100313},</w:t>
      </w:r>
      <w:r>
        <w:t xml:space="preserve"> </w:t>
      </w:r>
      <w:r>
        <w:t xml:space="preserve">year = {2024},</w:t>
      </w:r>
      <w:r>
        <w:t xml:space="preserve"> </w:t>
      </w:r>
      <w:r>
        <w:t xml:space="preserve">url = {https://www.sciencedirect.com/science/article/pii/S2444569X24001343},</w:t>
      </w:r>
      <w:r>
        <w:t xml:space="preserve"> </w:t>
      </w:r>
      <w:r>
        <w:t xml:space="preserve">}</w:t>
      </w:r>
    </w:p>
    <w:p>
      <w:pPr>
        <w:pStyle w:val="BodyText"/>
      </w:pPr>
      <w:r>
        <w:t xml:space="preserve">(</w:t>
      </w:r>
      <w:r>
        <w:rPr>
          <w:b/>
          <w:bCs/>
        </w:rPr>
        <w:t xml:space="preserve">misc?</w:t>
      </w:r>
      <w:r>
        <w:t xml:space="preserve">)</w:t>
      </w:r>
      <w:r>
        <w:t xml:space="preserve">{bloom2013wfh,</w:t>
      </w:r>
      <w:r>
        <w:t xml:space="preserve"> </w:t>
      </w:r>
      <w:r>
        <w:t xml:space="preserve">author = {Bloom, N. and Liang, J. and Roberts, J. and Ying, Z. J.},</w:t>
      </w:r>
      <w:r>
        <w:t xml:space="preserve"> </w:t>
      </w:r>
      <w:r>
        <w:t xml:space="preserve">title = {Does Working from Home Work? Evidence from a Chinese Experiment},</w:t>
      </w:r>
      <w:r>
        <w:t xml:space="preserve"> </w:t>
      </w:r>
      <w:r>
        <w:t xml:space="preserve">year = {2013},</w:t>
      </w:r>
      <w:r>
        <w:t xml:space="preserve"> </w:t>
      </w:r>
      <w:r>
        <w:t xml:space="preserve">url = {https://www.nber.org/papers/w18871},</w:t>
      </w:r>
      <w:r>
        <w:t xml:space="preserve"> </w:t>
      </w:r>
      <w:r>
        <w:t xml:space="preserve">}</w:t>
      </w:r>
    </w:p>
    <w:bookmarkStart w:id="129" w:name="what-goes-in-appendices"/>
    <w:p>
      <w:pPr>
        <w:pStyle w:val="Heading2"/>
      </w:pPr>
      <w:r>
        <w:t xml:space="preserve">What Goes in Appendices?</w:t>
      </w:r>
    </w:p>
    <w:p>
      <w:pPr>
        <w:pStyle w:val="FirstParagraph"/>
      </w:pPr>
      <w:r>
        <w:rPr>
          <w:b/>
          <w:bCs/>
        </w:rPr>
        <w:t xml:space="preserve">Appendices = supplementary material</w:t>
      </w:r>
      <w:r>
        <w:t xml:space="preserve"> </w:t>
      </w:r>
      <w:r>
        <w:t xml:space="preserve">that supports but isn’t essential to your main story.</w:t>
      </w:r>
    </w:p>
    <w:p>
      <w:pPr>
        <w:pStyle w:val="BodyText"/>
      </w:pPr>
      <w:r>
        <w:rPr>
          <w:b/>
          <w:bCs/>
        </w:rPr>
        <w:t xml:space="preserve">Include in appendices:</w:t>
      </w:r>
    </w:p>
    <w:p>
      <w:pPr>
        <w:pStyle w:val="Compact"/>
        <w:numPr>
          <w:ilvl w:val="0"/>
          <w:numId w:val="1044"/>
        </w:numPr>
      </w:pPr>
      <w:r>
        <w:rPr>
          <w:b/>
          <w:bCs/>
        </w:rPr>
        <w:t xml:space="preserve">Additional plots and visualizations</w:t>
      </w:r>
      <w:r>
        <w:t xml:space="preserve"> </w:t>
      </w:r>
      <w:r>
        <w:t xml:space="preserve">that provide extra detail but don’t fit the main narrative flow</w:t>
      </w:r>
    </w:p>
    <w:p>
      <w:pPr>
        <w:pStyle w:val="Compact"/>
        <w:numPr>
          <w:ilvl w:val="0"/>
          <w:numId w:val="1044"/>
        </w:numPr>
      </w:pPr>
      <w:r>
        <w:rPr>
          <w:b/>
          <w:bCs/>
        </w:rPr>
        <w:t xml:space="preserve">Alternative visualizations</w:t>
      </w:r>
      <w:r>
        <w:t xml:space="preserve"> </w:t>
      </w:r>
      <w:r>
        <w:t xml:space="preserve">of the same data (e.g., different plot types)</w:t>
      </w:r>
    </w:p>
    <w:p>
      <w:pPr>
        <w:pStyle w:val="Compact"/>
        <w:numPr>
          <w:ilvl w:val="0"/>
          <w:numId w:val="1044"/>
        </w:numPr>
      </w:pPr>
      <w:r>
        <w:rPr>
          <w:b/>
          <w:bCs/>
        </w:rPr>
        <w:t xml:space="preserve">Exploratory plots</w:t>
      </w:r>
      <w:r>
        <w:t xml:space="preserve"> </w:t>
      </w:r>
      <w:r>
        <w:t xml:space="preserve">that informed your analysis but aren’t central to your findings</w:t>
      </w:r>
    </w:p>
    <w:p>
      <w:pPr>
        <w:pStyle w:val="Compact"/>
        <w:numPr>
          <w:ilvl w:val="0"/>
          <w:numId w:val="1044"/>
        </w:numPr>
      </w:pPr>
      <w:r>
        <w:rPr>
          <w:b/>
          <w:bCs/>
        </w:rPr>
        <w:t xml:space="preserve">Full code listings</w:t>
      </w:r>
      <w:r>
        <w:t xml:space="preserve"> </w:t>
      </w:r>
      <w:r>
        <w:t xml:space="preserve">for complex analyses</w:t>
      </w:r>
    </w:p>
    <w:p>
      <w:pPr>
        <w:pStyle w:val="Compact"/>
        <w:numPr>
          <w:ilvl w:val="0"/>
          <w:numId w:val="1044"/>
        </w:numPr>
      </w:pPr>
      <w:r>
        <w:rPr>
          <w:b/>
          <w:bCs/>
        </w:rPr>
        <w:t xml:space="preserve">Extended statistical tables</w:t>
      </w:r>
      <w:r>
        <w:t xml:space="preserve"> </w:t>
      </w:r>
      <w:r>
        <w:t xml:space="preserve">with detailed results</w:t>
      </w:r>
    </w:p>
    <w:p>
      <w:pPr>
        <w:pStyle w:val="Compact"/>
        <w:numPr>
          <w:ilvl w:val="0"/>
          <w:numId w:val="1044"/>
        </w:numPr>
      </w:pPr>
      <w:r>
        <w:rPr>
          <w:b/>
          <w:bCs/>
        </w:rPr>
        <w:t xml:space="preserve">Technical details</w:t>
      </w:r>
      <w:r>
        <w:t xml:space="preserve"> </w:t>
      </w:r>
      <w:r>
        <w:t xml:space="preserve">about data processing steps</w:t>
      </w:r>
    </w:p>
    <w:p>
      <w:pPr>
        <w:pStyle w:val="Compact"/>
        <w:numPr>
          <w:ilvl w:val="0"/>
          <w:numId w:val="1044"/>
        </w:numPr>
      </w:pPr>
      <w:r>
        <w:rPr>
          <w:b/>
          <w:bCs/>
        </w:rPr>
        <w:t xml:space="preserve">Sensitivity analyses</w:t>
      </w:r>
      <w:r>
        <w:t xml:space="preserve"> </w:t>
      </w:r>
      <w:r>
        <w:t xml:space="preserve">or robustness checks</w:t>
      </w:r>
    </w:p>
    <w:p>
      <w:pPr>
        <w:pStyle w:val="Compact"/>
        <w:numPr>
          <w:ilvl w:val="0"/>
          <w:numId w:val="1044"/>
        </w:numPr>
      </w:pPr>
      <w:r>
        <w:rPr>
          <w:b/>
          <w:bCs/>
        </w:rPr>
        <w:t xml:space="preserve">Data dictionaries</w:t>
      </w:r>
      <w:r>
        <w:t xml:space="preserve"> </w:t>
      </w:r>
      <w:r>
        <w:t xml:space="preserve">with detailed variable descriptions</w:t>
      </w:r>
    </w:p>
    <w:bookmarkStart w:id="126" w:name="sec-appendix-plots"/>
    <w:p>
      <w:pPr>
        <w:pStyle w:val="Heading3"/>
      </w:pPr>
      <w:r>
        <w:t xml:space="preserve">Appendix A: Additional Exploratory Plots</w:t>
      </w:r>
    </w:p>
    <w:bookmarkEnd w:id="126"/>
    <w:bookmarkStart w:id="127" w:name="sec-appendix-code"/>
    <w:p>
      <w:pPr>
        <w:pStyle w:val="Heading3"/>
      </w:pPr>
      <w:r>
        <w:t xml:space="preserve">Appendix B: Complete Code Listings</w:t>
      </w:r>
    </w:p>
    <w:bookmarkEnd w:id="127"/>
    <w:bookmarkStart w:id="128" w:name="sec-appendix-tables"/>
    <w:p>
      <w:pPr>
        <w:pStyle w:val="Heading3"/>
      </w:pPr>
      <w:r>
        <w:t xml:space="preserve">Appendix C: Supplementary Tables</w:t>
      </w:r>
    </w:p>
    <w:bookmarkEnd w:id="128"/>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image" Id="rId97" Target="media/rId97.pn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89" Target="media/rId89.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69" Target="media/rId69.png" /><Relationship Type="http://schemas.openxmlformats.org/officeDocument/2006/relationships/image" Id="rId93" Target="media/rId93.png" /><Relationship Type="http://schemas.openxmlformats.org/officeDocument/2006/relationships/hyperlink" Id="rId51" Target="https://data.nsw.gov.au/data/dataset/nsw-remote-working-survey" TargetMode="External" /><Relationship Type="http://schemas.openxmlformats.org/officeDocument/2006/relationships/hyperlink" Id="rId20" Target="https://en.wikibooks.org/wiki/LaTeX/Mathematics" TargetMode="External" /><Relationship Type="http://schemas.openxmlformats.org/officeDocument/2006/relationships/hyperlink" Id="rId24" Target="https://quarto.org/docs/authoring/cross-references.html" TargetMode="External" /><Relationship Type="http://schemas.openxmlformats.org/officeDocument/2006/relationships/hyperlink" Id="rId44" Target="https://quarto.org/docs/authoring/figures.html" TargetMode="External" /><Relationship Type="http://schemas.openxmlformats.org/officeDocument/2006/relationships/hyperlink" Id="rId31" Target="https://quarto.org/docs/authoring/markdown-basics.html" TargetMode="External" /></Relationships>
</file>

<file path=word/_rels/footnotes.xml.rels><?xml version="1.0" encoding="UTF-8"?><Relationships xmlns="http://schemas.openxmlformats.org/package/2006/relationships"><Relationship Type="http://schemas.openxmlformats.org/officeDocument/2006/relationships/hyperlink" Id="rId51" Target="https://data.nsw.gov.au/data/dataset/nsw-remote-working-survey" TargetMode="External" /><Relationship Type="http://schemas.openxmlformats.org/officeDocument/2006/relationships/hyperlink" Id="rId20" Target="https://en.wikibooks.org/wiki/LaTeX/Mathematics" TargetMode="External" /><Relationship Type="http://schemas.openxmlformats.org/officeDocument/2006/relationships/hyperlink" Id="rId24" Target="https://quarto.org/docs/authoring/cross-references.html" TargetMode="External" /><Relationship Type="http://schemas.openxmlformats.org/officeDocument/2006/relationships/hyperlink" Id="rId44" Target="https://quarto.org/docs/authoring/figures.html" TargetMode="External" /><Relationship Type="http://schemas.openxmlformats.org/officeDocument/2006/relationships/hyperlink" Id="rId31" Target="https://quarto.org/docs/authoring/markdown-basic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2025-12-11T14:01:43Z</dcterms:created>
  <dcterms:modified xsi:type="dcterms:W3CDTF">2025-12-11T14:01:43Z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