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bookmarkStart w:id="23" w:name="introduction"/>
    <w:p>
      <w:pPr>
        <w:pStyle w:val="Heading1"/>
      </w:pPr>
      <w:r>
        <w:t xml:space="preserve">Introduction</w:t>
      </w:r>
    </w:p>
    <w:bookmarkStart w:id="20"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20"/>
    <w:bookmarkStart w:id="21" w:name="research-questions"/>
    <w:p>
      <w:pPr>
        <w:pStyle w:val="Heading2"/>
      </w:pPr>
      <w:r>
        <w:t xml:space="preserve">Research Questions</w:t>
      </w:r>
    </w:p>
    <w:p>
      <w:pPr>
        <w:pStyle w:val="Compact"/>
        <w:numPr>
          <w:ilvl w:val="0"/>
          <w:numId w:val="1001"/>
        </w:numPr>
      </w:pPr>
      <w:r>
        <w:t xml:space="preserve">How does remote work influence employees’ overall productivity?</w:t>
      </w:r>
    </w:p>
    <w:p>
      <w:pPr>
        <w:pStyle w:val="Compact"/>
        <w:numPr>
          <w:ilvl w:val="0"/>
          <w:numId w:val="1001"/>
        </w:numPr>
      </w:pPr>
      <w:r>
        <w:t xml:space="preserve">How does remote working affect employees’ ability to maintain social connections and avoid feelings of isolation?</w:t>
      </w:r>
    </w:p>
    <w:p>
      <w:pPr>
        <w:pStyle w:val="Compact"/>
        <w:numPr>
          <w:ilvl w:val="0"/>
          <w:numId w:val="1001"/>
        </w:numPr>
      </w:pPr>
      <w:r>
        <w:t xml:space="preserve">Has job satisfaction decreased or increased as a result of remote working conditions?</w:t>
      </w:r>
    </w:p>
    <w:p>
      <w:pPr>
        <w:pStyle w:val="Compact"/>
        <w:numPr>
          <w:ilvl w:val="0"/>
          <w:numId w:val="1001"/>
        </w:numPr>
      </w:pPr>
      <w:r>
        <w:t xml:space="preserve">Which factors contribute the most to employees’ overall satisfaction with remote work?</w:t>
      </w:r>
    </w:p>
    <w:bookmarkEnd w:id="21"/>
    <w:bookmarkStart w:id="22"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22"/>
    <w:bookmarkEnd w:id="23"/>
    <w:bookmarkStart w:id="36" w:name="data"/>
    <w:p>
      <w:pPr>
        <w:pStyle w:val="Heading1"/>
      </w:pPr>
      <w:r>
        <w:t xml:space="preserve">Data</w:t>
      </w:r>
    </w:p>
    <w:bookmarkStart w:id="25"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24">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02"/>
        </w:numPr>
      </w:pPr>
      <w:r>
        <w:t xml:space="preserve">be employed NSW residents</w:t>
      </w:r>
    </w:p>
    <w:p>
      <w:pPr>
        <w:numPr>
          <w:ilvl w:val="0"/>
          <w:numId w:val="100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corresponds to the 2020 wave of the NSW Remote Working Survey. Although a second wave of the survey was collected in March and April 2021, it is not included in the present analysis. The 2021 dataset differs substantially in terms of survey structure, variable definitions, and measurement scales, which would require extensive re-harmonisation and could introduce inconsistencies across waves. To preserve internal consistency and ensure methodological robustness, the analysis therefore focuses exclusively on the 2020 dataset.</w:t>
      </w:r>
    </w:p>
    <w:p>
      <w:pPr>
        <w:pStyle w:val="BodyText"/>
      </w:pPr>
      <w:r>
        <w:t xml:space="preserve">To provide additional contextual insight, an external dataset sourced from Kaggle is introduced at the exploratory data analysis stage. This dataset contains country-level COVID-19 indicators, including total cases and deaths, and is used for descriptive cross-country comparison. It is not merged with the survey data and serves only to contextualize the remote working analysis.</w:t>
      </w:r>
    </w:p>
    <w:bookmarkEnd w:id="25"/>
    <w:bookmarkStart w:id="29"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0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0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0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0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04"/>
              </w:numPr>
            </w:pPr>
            <w:r>
              <w:rPr>
                <w:b/>
                <w:bCs/>
              </w:rPr>
              <w:t xml:space="preserve">File used:</w:t>
            </w:r>
            <w:r>
              <w:t xml:space="preserve"> </w:t>
            </w:r>
            <w:r>
              <w:t xml:space="preserve">2020_rws-updated.csv</w:t>
            </w:r>
          </w:p>
          <w:p>
            <w:pPr>
              <w:numPr>
                <w:ilvl w:val="0"/>
                <w:numId w:val="1004"/>
              </w:numPr>
            </w:pPr>
            <w:r>
              <w:rPr>
                <w:b/>
                <w:bCs/>
              </w:rPr>
              <w:t xml:space="preserve">Format:</w:t>
            </w:r>
            <w:r>
              <w:t xml:space="preserve"> </w:t>
            </w:r>
            <w:r>
              <w:t xml:space="preserve">CSV (comma-separated values)</w:t>
            </w:r>
          </w:p>
          <w:p>
            <w:pPr>
              <w:numPr>
                <w:ilvl w:val="0"/>
                <w:numId w:val="100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04"/>
              </w:numPr>
            </w:pPr>
            <w:r>
              <w:rPr>
                <w:b/>
                <w:bCs/>
              </w:rPr>
              <w:t xml:space="preserve">Memory usage:</w:t>
            </w:r>
            <w:r>
              <w:t xml:space="preserve"> </w:t>
            </w:r>
            <w:r>
              <w:t xml:space="preserve">approximately 7.46 MB</w:t>
            </w:r>
          </w:p>
          <w:p>
            <w:pPr>
              <w:numPr>
                <w:ilvl w:val="0"/>
                <w:numId w:val="1004"/>
              </w:numPr>
            </w:pPr>
            <w:r>
              <w:rPr>
                <w:b/>
                <w:bCs/>
              </w:rPr>
              <w:t xml:space="preserve">Number of observations:</w:t>
            </w:r>
            <w:r>
              <w:t xml:space="preserve"> </w:t>
            </w:r>
            <w:r>
              <w:t xml:space="preserve">1507 respondents (1370 rows after cleaning)</w:t>
            </w:r>
          </w:p>
          <w:p>
            <w:pPr>
              <w:numPr>
                <w:ilvl w:val="0"/>
                <w:numId w:val="1004"/>
              </w:numPr>
            </w:pPr>
            <w:r>
              <w:rPr>
                <w:b/>
                <w:bCs/>
              </w:rPr>
              <w:t xml:space="preserve">Number of variables:</w:t>
            </w:r>
            <w:r>
              <w:t xml:space="preserve"> </w:t>
            </w:r>
            <w:r>
              <w:t xml:space="preserve">73 columns (25 after cleaning)</w:t>
            </w:r>
          </w:p>
          <w:p>
            <w:pPr>
              <w:numPr>
                <w:ilvl w:val="0"/>
                <w:numId w:val="1004"/>
              </w:numPr>
            </w:pPr>
            <w:r>
              <w:rPr>
                <w:b/>
                <w:bCs/>
              </w:rPr>
              <w:t xml:space="preserve">Time period:</w:t>
            </w:r>
            <w:r>
              <w:t xml:space="preserve"> </w:t>
            </w:r>
            <w:r>
              <w:t xml:space="preserve">August and September 2020</w:t>
            </w:r>
          </w:p>
          <w:p>
            <w:pPr>
              <w:numPr>
                <w:ilvl w:val="0"/>
                <w:numId w:val="1004"/>
              </w:numPr>
            </w:pPr>
            <w:r>
              <w:rPr>
                <w:b/>
                <w:bCs/>
              </w:rPr>
              <w:t xml:space="preserve">Geographic coverage:</w:t>
            </w:r>
            <w:r>
              <w:t xml:space="preserve"> </w:t>
            </w:r>
            <w:r>
              <w:t xml:space="preserve">New South Wales, Australia</w:t>
            </w:r>
          </w:p>
          <w:p>
            <w:pPr>
              <w:numPr>
                <w:ilvl w:val="0"/>
                <w:numId w:val="100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29"/>
    <w:bookmarkStart w:id="31"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30"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30"/>
    <w:bookmarkEnd w:id="31"/>
    <w:bookmarkStart w:id="35" w:name="wrangling"/>
    <w:p>
      <w:pPr>
        <w:pStyle w:val="Heading2"/>
      </w:pPr>
      <w:r>
        <w:t xml:space="preserve">Wrangling</w:t>
      </w:r>
    </w:p>
    <w:bookmarkStart w:id="32"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 and Variable Reduction</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t xml:space="preserve">In parallel, a large number of variables from the initial dataset were removed during preprocessing in order to improve readability, interpretability, and analytical relevance. This included variables such as industry, current occupation, share of time spent remote working, perceived best aspects of remote work (working hours, work-life balance, job satisfaction), and perceived barriers to remote working (organisational systems, workspace conditions, or management discouragement). This was done by dropping selected columns as shown below:</w:t>
      </w:r>
    </w:p>
    <w:p>
      <w:pPr>
        <w:pStyle w:val="BodyText"/>
      </w:pPr>
      <w:r>
        <w:t xml:space="preserve">This step allowed the dataset to be reduced to a smaller and more meaningful set of variables, while preserving all observations.</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32"/>
    <w:bookmarkStart w:id="33"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05"/>
        </w:numPr>
      </w:pPr>
      <w:r>
        <w:t xml:space="preserve">Most variables contained very few missing values, mainly in attitudinal questions where some respondents simply did not answer.</w:t>
      </w:r>
    </w:p>
    <w:p>
      <w:pPr>
        <w:numPr>
          <w:ilvl w:val="0"/>
          <w:numId w:val="1005"/>
        </w:numPr>
      </w:pPr>
      <w:r>
        <w:t xml:space="preserve">Additional missingness appeared when converting textual inputs (percentages or productivity statements) into numeric formats, entries that could not be parsed were intentionally converted to NaN.</w:t>
      </w:r>
    </w:p>
    <w:p>
      <w:pPr>
        <w:numPr>
          <w:ilvl w:val="0"/>
          <w:numId w:val="100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06"/>
        </w:numPr>
      </w:pPr>
      <w:r>
        <w:t xml:space="preserve">Deletion was applied when missingness or category size was extremely small and analytically useless.</w:t>
      </w:r>
    </w:p>
    <w:p>
      <w:pPr>
        <w:numPr>
          <w:ilvl w:val="0"/>
          <w:numId w:val="1006"/>
        </w:numPr>
      </w:pPr>
      <w:r>
        <w:t xml:space="preserve">Imputation with a neutral value (3 = Neither agree nor disagree) was used for missing Likert-scale answers to preserve observations without creating bias.</w:t>
      </w:r>
    </w:p>
    <w:p>
      <w:pPr>
        <w:numPr>
          <w:ilvl w:val="0"/>
          <w:numId w:val="100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0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0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33"/>
    <w:bookmarkStart w:id="34"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0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09"/>
        </w:numPr>
      </w:pPr>
      <w:r>
        <w:t xml:space="preserve">Domestic_hours_workplace: A single observation of –1 hour is impossible and indicates a recording error.</w:t>
      </w:r>
    </w:p>
    <w:p>
      <w:pPr>
        <w:numPr>
          <w:ilvl w:val="0"/>
          <w:numId w:val="100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10"/>
        </w:numPr>
      </w:pPr>
      <w:r>
        <w:t xml:space="preserve">Commute_hours_remote: Values up to 12 hours on remote days are implausible and likely due to misinterpretation or input mistakes.</w:t>
      </w:r>
    </w:p>
    <w:p>
      <w:pPr>
        <w:numPr>
          <w:ilvl w:val="0"/>
          <w:numId w:val="101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11"/>
        </w:numPr>
      </w:pPr>
      <w:r>
        <w:t xml:space="preserve">Outliers were evaluated using:</w:t>
      </w:r>
    </w:p>
    <w:p>
      <w:pPr>
        <w:numPr>
          <w:ilvl w:val="1"/>
          <w:numId w:val="1012"/>
        </w:numPr>
      </w:pPr>
      <w:r>
        <w:t xml:space="preserve">Visual inspection (histograms from univariate EDA)</w:t>
      </w:r>
    </w:p>
    <w:p>
      <w:pPr>
        <w:numPr>
          <w:ilvl w:val="1"/>
          <w:numId w:val="1012"/>
        </w:numPr>
      </w:pPr>
      <w:r>
        <w:t xml:space="preserve">Summary statistics (min/max, interquartile ranges)</w:t>
      </w:r>
    </w:p>
    <w:p>
      <w:pPr>
        <w:numPr>
          <w:ilvl w:val="1"/>
          <w:numId w:val="1012"/>
        </w:numPr>
      </w:pPr>
      <w:r>
        <w:t xml:space="preserve">Domain knowledge (negative hours, impossible ages)</w:t>
      </w:r>
    </w:p>
    <w:p>
      <w:pPr>
        <w:numPr>
          <w:ilvl w:val="0"/>
          <w:numId w:val="1011"/>
        </w:numPr>
      </w:pPr>
      <w:r>
        <w:t xml:space="preserve">Following best practices</w:t>
      </w:r>
    </w:p>
    <w:p>
      <w:pPr>
        <w:numPr>
          <w:ilvl w:val="1"/>
          <w:numId w:val="1013"/>
        </w:numPr>
      </w:pPr>
      <w:r>
        <w:t xml:space="preserve">Impossible values (age = 120, domestic hours = –1) will be removed before modelling.</w:t>
      </w:r>
    </w:p>
    <w:p>
      <w:pPr>
        <w:numPr>
          <w:ilvl w:val="1"/>
          <w:numId w:val="1013"/>
        </w:numPr>
      </w:pPr>
      <w:r>
        <w:t xml:space="preserve">Extreme but plausible behaviours (very long workdays) are kept unless they later bias model results.</w:t>
      </w:r>
    </w:p>
    <w:p>
      <w:pPr>
        <w:numPr>
          <w:ilvl w:val="1"/>
          <w:numId w:val="101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34"/>
    <w:bookmarkEnd w:id="35"/>
    <w:bookmarkEnd w:id="36"/>
    <w:bookmarkStart w:id="42" w:name="eda"/>
    <w:p>
      <w:pPr>
        <w:pStyle w:val="Heading1"/>
      </w:pPr>
      <w:r>
        <w:t xml:space="preserve">EDA</w:t>
      </w:r>
    </w:p>
    <w:bookmarkStart w:id="37" w:name="univariate-analysis"/>
    <w:p>
      <w:pPr>
        <w:pStyle w:val="Heading2"/>
      </w:pPr>
      <w:r>
        <w:t xml:space="preserve">Univariate Analysis</w:t>
      </w:r>
    </w:p>
    <w:p>
      <w:pPr>
        <w:pStyle w:val="FirstParagraph"/>
      </w:pPr>
      <w:r>
        <w:t xml:space="preserve">Examine each variable individually to understand its distribution, central tendency, and spread.</w:t>
      </w:r>
    </w:p>
    <w:p>
      <w:pPr>
        <w:pStyle w:val="BodyText"/>
      </w:pPr>
      <w:r>
        <w:t xml:space="preserve">From this code we got the full results of all our variables in terms of distribution sorted by occurrence. The relevant information we gathered from these are the followings:</w:t>
      </w:r>
    </w:p>
    <w:p>
      <w:pPr>
        <w:pStyle w:val="SourceCode"/>
      </w:pP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p>
    <w:p>
      <w:pPr>
        <w:pStyle w:val="Compact"/>
        <w:numPr>
          <w:ilvl w:val="0"/>
          <w:numId w:val="1014"/>
        </w:numPr>
      </w:pPr>
      <w:r>
        <w:t xml:space="preserve">Age: we have some outliers for the age variable with 2 people 120 years old that needs to be treated</w:t>
      </w:r>
    </w:p>
    <w:p>
      <w:pPr>
        <w:pStyle w:val="SourceCode"/>
      </w:pP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p>
    <w:p>
      <w:pPr>
        <w:pStyle w:val="Compact"/>
        <w:numPr>
          <w:ilvl w:val="0"/>
          <w:numId w:val="1015"/>
        </w:numPr>
      </w:pPr>
      <w:r>
        <w:t xml:space="preserve">Gender: good balance (604 / (604+766) = 44% of women)</w:t>
      </w:r>
    </w:p>
    <w:p>
      <w:pPr>
        <w:pStyle w:val="SourceCode"/>
      </w:pP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p>
    <w:p>
      <w:pPr>
        <w:pStyle w:val="Compact"/>
        <w:numPr>
          <w:ilvl w:val="0"/>
          <w:numId w:val="1016"/>
        </w:numPr>
      </w:pPr>
      <w:r>
        <w:t xml:space="preserve">Years in job: sample is quite experienced with only 11% with less than 1 year of experience.</w:t>
      </w:r>
    </w:p>
    <w:p>
      <w:pPr>
        <w:pStyle w:val="SourceCode"/>
      </w:pP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p>
    <w:p>
      <w:pPr>
        <w:pStyle w:val="Compact"/>
        <w:numPr>
          <w:ilvl w:val="0"/>
          <w:numId w:val="1017"/>
        </w:numPr>
      </w:pPr>
      <w:r>
        <w:t xml:space="preserve">Productivity remote vs workplace: we can see that for most of them productivity is either equivalent, or they even gained in productivity (46% gained between 20 to 50% of productivity).</w:t>
      </w:r>
    </w:p>
    <w:bookmarkEnd w:id="37"/>
    <w:bookmarkStart w:id="38" w:name="distribution-plot"/>
    <w:p>
      <w:pPr>
        <w:pStyle w:val="Heading2"/>
      </w:pPr>
      <w:r>
        <w:t xml:space="preserve">Distribution Plot</w:t>
      </w:r>
    </w:p>
    <w:p>
      <w:pPr>
        <w:pStyle w:val="FirstParagraph"/>
      </w:pPr>
      <w:r>
        <w:t xml:space="preserve">Concretely, if we look at the distribution of the change in productivity with this code :</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SourceCode"/>
      </w:pPr>
      <w:r>
        <w:rPr>
          <w:rStyle w:val="VerbatimChar"/>
        </w:rPr>
        <w:t xml:space="preserve">Skewness change in productivity:</w:t>
      </w:r>
      <w:r>
        <w:br/>
      </w:r>
      <w:r>
        <w:rPr>
          <w:rStyle w:val="VerbatimChar"/>
        </w:rPr>
        <w:t xml:space="preserve">-0.1398603974975266</w:t>
      </w:r>
    </w:p>
    <w:p>
      <w:pPr>
        <w:pStyle w:val="FirstParagraph"/>
      </w:pPr>
      <w:r>
        <w:t xml:space="preserve">The histogram we obtain from the code shows an important part of 0 meaning for a lot of people working remotely doesn’t affect their productivity. Looking at the skewness (-0.13), we can deduce that data is significantly more on the right of the graph, meaning that people are more productive being at home for work.</w:t>
      </w:r>
    </w:p>
    <w:bookmarkEnd w:id="38"/>
    <w:bookmarkStart w:id="39" w:name="bivariate-analysis"/>
    <w:p>
      <w:pPr>
        <w:pStyle w:val="Heading2"/>
      </w:pPr>
      <w:r>
        <w:t xml:space="preserve">Bivariate Analysis</w:t>
      </w:r>
    </w:p>
    <w:p>
      <w:pPr>
        <w:pStyle w:val="SourceCode"/>
      </w:pPr>
      <w:r>
        <w:rPr>
          <w:rStyle w:val="VerbatimChar"/>
        </w:rPr>
        <w:t xml:space="preserve">Unable to display output for mime type(s): text/html</w:t>
      </w:r>
    </w:p>
    <w:p>
      <w:pPr>
        <w:pStyle w:val="FirstParagraph"/>
      </w:pPr>
      <w:r>
        <w:t xml:space="preserve">In this Violin plot, we can understand that the change in productivity is not really influenced by the size of the company. Nevertheless, we can observe for small enterprises that a negative change in productivity is even rarer. We can guess that people in small businesses don’t depend too much on working with peers and with teams, so going to the workplace is less necessary than in big companies and communications facilitated.</w:t>
      </w:r>
    </w:p>
    <w:p>
      <w:pPr>
        <w:pStyle w:val="SourceCode"/>
      </w:pPr>
      <w:r>
        <w:rPr>
          <w:rStyle w:val="VerbatimChar"/>
        </w:rPr>
        <w:t xml:space="preserve">Unable to display output for mime type(s): text/html</w:t>
      </w:r>
    </w:p>
    <w:p>
      <w:pPr>
        <w:pStyle w:val="FirstParagraph"/>
      </w:pPr>
      <w:r>
        <w:t xml:space="preserve">We wanted to look at the distribution of the managing positions based on the gender and we could see that almost 60% of men are managers compared to only 40% for women so this is factored to take into consideration when giving conclusions.</w:t>
      </w:r>
    </w:p>
    <w:bookmarkEnd w:id="39"/>
    <w:bookmarkStart w:id="40" w:name="correlationmultivariate-analysis"/>
    <w:p>
      <w:pPr>
        <w:pStyle w:val="Heading2"/>
      </w:pPr>
      <w:r>
        <w:t xml:space="preserve">Correlation/Multivariate Analysis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can see on those 2 pie charts representing the distribution of the day based on the time in hours working, commuting, for personnal and family, and domestic. We can see that the time of work is sensibly the same for remote and workplace (50% compared to 48.8%). What is important here is to see that time to commute is divided by 3 when remote working so it gives more time for domesting and personnal/family time going from 39.6% of your day to 46%. This difference shows a better work/life balance for employees when remotely working. This could affect mental health positively.</w:t>
      </w:r>
    </w:p>
    <w:bookmarkEnd w:id="40"/>
    <w:bookmarkStart w:id="41" w:name="key-findings"/>
    <w:p>
      <w:pPr>
        <w:pStyle w:val="Heading2"/>
      </w:pPr>
      <w:r>
        <w:t xml:space="preserve">Key Findings</w:t>
      </w:r>
    </w:p>
    <w:p>
      <w:pPr>
        <w:pStyle w:val="FirstParagraph"/>
      </w:pPr>
      <w:r>
        <w:rPr>
          <w:b/>
          <w:bCs/>
        </w:rPr>
        <w:t xml:space="preserve">Univariate Analysis</w:t>
      </w:r>
      <w:r>
        <w:t xml:space="preserve"> </w:t>
      </w:r>
      <w:r>
        <w:t xml:space="preserve">- The sample is professionally experienced: only 11% have experience of less than 1 year.</w:t>
      </w:r>
      <w:r>
        <w:t xml:space="preserve"> </w:t>
      </w:r>
      <w:r>
        <w:t xml:space="preserve">- There is a correct balance between genders: 44% of the sample is composed by women.</w:t>
      </w:r>
      <w:r>
        <w:t xml:space="preserve"> </w:t>
      </w:r>
      <w:r>
        <w:t xml:space="preserve">- Productivity is either not affected or positively impacted by remote work: 46% improved their productivity through remote work.</w:t>
      </w:r>
    </w:p>
    <w:p>
      <w:pPr>
        <w:pStyle w:val="BodyText"/>
      </w:pPr>
      <w:r>
        <w:rPr>
          <w:b/>
          <w:bCs/>
        </w:rPr>
        <w:t xml:space="preserve">Bivariate Analysis</w:t>
      </w:r>
      <w:r>
        <w:t xml:space="preserve"> </w:t>
      </w:r>
      <w:r>
        <w:t xml:space="preserve">Working on place or remotely does not affect small businesses productivity, from which we can conclude small-structure workers does not depend too much on working with peers and teams, and going physically to workplace is less necessary than in big companies and communications facilitated.</w:t>
      </w:r>
    </w:p>
    <w:p>
      <w:pPr>
        <w:pStyle w:val="BodyText"/>
      </w:pPr>
      <w:r>
        <w:t xml:space="preserve">Manager jobs are composed of men at a 60% rate whereas only 40% are women, a factor we must take into consideration when giving conclusions.</w:t>
      </w:r>
    </w:p>
    <w:p>
      <w:pPr>
        <w:pStyle w:val="BodyText"/>
      </w:pPr>
      <w:r>
        <w:rPr>
          <w:b/>
          <w:bCs/>
        </w:rPr>
        <w:t xml:space="preserve">Correlation/Multivariate Analysis</w:t>
      </w:r>
      <w:r>
        <w:t xml:space="preserve"> </w:t>
      </w:r>
      <w:r>
        <w:t xml:space="preserve">According to the distribution of the day based on the time in hours working, commuting, for personal and family, and domestic, we can observe that the time of work is sensibly the same remotely and physically at work (50% compared to 48.8%).</w:t>
      </w:r>
      <w:r>
        <w:t xml:space="preserve"> </w:t>
      </w:r>
      <w:r>
        <w:t xml:space="preserve">Furthermore, time to commute is divided by 3 when working remotely, which gives more time for domestic activities and personal/family time going from 39.6% of daytime to 46%. This difference shows a better work/life balance for employees through remote work, an element that could positively affect mental health.</w:t>
      </w:r>
      <w:r>
        <w:br/>
      </w:r>
      <w:r>
        <w:t xml:space="preserve">There is a positive correlation of 0.14 between productivity and working remotely. However, this correlation coefficient remains positively low.</w:t>
      </w:r>
    </w:p>
    <w:bookmarkEnd w:id="41"/>
    <w:bookmarkEnd w:id="42"/>
    <w:bookmarkStart w:id="44" w:name="analysis"/>
    <w:p>
      <w:pPr>
        <w:pStyle w:val="Heading1"/>
      </w:pPr>
      <w:r>
        <w:t xml:space="preserve">Analysis</w:t>
      </w:r>
    </w:p>
    <w:bookmarkStart w:id="43" w:name="methods"/>
    <w:p>
      <w:pPr>
        <w:pStyle w:val="Heading2"/>
      </w:pPr>
      <w:r>
        <w:t xml:space="preserve">Methods</w:t>
      </w:r>
    </w:p>
    <w:p>
      <w:pPr>
        <w:pStyle w:val="FirstParagraph"/>
      </w:pPr>
      <w:r>
        <w:rPr>
          <w:b/>
          <w:bCs/>
        </w:rPr>
        <w:t xml:space="preserve">Remote Work Intensity and Productivity</w:t>
      </w:r>
    </w:p>
    <w:p>
      <w:pPr>
        <w:pStyle w:val="BodyText"/>
      </w:pPr>
      <w:r>
        <w:t xml:space="preserve">This section examines the relationship between remote work intensity and self-reported productivity change using both graphical analysis and linear regression models.</w:t>
      </w:r>
    </w:p>
    <w:p>
      <w:pPr>
        <w:pStyle w:val="BodyText"/>
      </w:pPr>
      <w:r>
        <w:rPr>
          <w:b/>
          <w:bCs/>
        </w:rPr>
        <w:t xml:space="preserve">Exploratory relationship</w:t>
      </w:r>
    </w:p>
    <w:p>
      <w:pPr>
        <w:pStyle w:val="BodyText"/>
      </w:pPr>
      <w:r>
        <w:t xml:space="preserve">Figure X plots productivity change against the share of time spent working remotely, together with a fitted linear regression line. The slope of the line is positive, and the Pearson correlation coefficient is approximately 0.14, indicating a weak positive association between remote work intensity and productivity change. Individuals who work remotely more frequently tend, on average, to report slightly higher productivity. However, the magnitude of this association is limited and should not be interpreted as causal.</w:t>
      </w:r>
    </w:p>
    <w:p>
      <w:pPr>
        <w:pStyle w:val="BodyText"/>
      </w:pPr>
      <w:r>
        <w:rPr>
          <w:b/>
          <w:bCs/>
        </w:rPr>
        <w:t xml:space="preserve">Baseline regression model</w:t>
      </w:r>
    </w:p>
    <w:p>
      <w:pPr>
        <w:pStyle w:val="BodyText"/>
      </w:pPr>
      <w:r>
        <w:t xml:space="preserve">To formalise this relationship, productivity change is first modelled using a simple ordinary least squares (OLS) regression with remote work intensity as the only explanatory variable:</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ε</m:t>
              </m:r>
            </m:e>
            <m:sub>
              <m:r>
                <m:t>i</m:t>
              </m:r>
            </m:sub>
          </m:sSub>
        </m:oMath>
      </m:oMathPara>
    </w:p>
    <w:p>
      <w:pPr>
        <w:pStyle w:val="SourceCode"/>
      </w:pPr>
      <w:r>
        <w:rPr>
          <w:rStyle w:val="VerbatimChar"/>
        </w:rPr>
        <w:t xml:space="preserve">Unable to display output for mime type(s): text/html</w:t>
      </w:r>
    </w:p>
    <w:p>
      <w:pPr>
        <w:pStyle w:val="FirstParagraph"/>
      </w:pPr>
      <w:r>
        <w:t xml:space="preserve">This baseline model captures the raw relationship between remote work intensity and productivity without accounting for any additional individual or organisational characteristics.</w:t>
      </w:r>
      <w:r>
        <w:t xml:space="preserve"> </w:t>
      </w:r>
      <w:r>
        <w:t xml:space="preserve">The estimation results show that the coefficient on remote work intensity is positive and statistically significant. Moving from no remote work to full remote work is associated with an increase of approximately 11–12 percentage points in reported productivity. Despite this statistically significant effect, the explanatory power of the model remains very low, with an R-squared of around 0.02. This indicates that remote work intensity alone explains only a very small share of the variation in productivity changes across individuals.</w:t>
      </w:r>
    </w:p>
    <w:p>
      <w:pPr>
        <w:pStyle w:val="BodyText"/>
      </w:pPr>
      <w:r>
        <w:rPr>
          <w:b/>
          <w:bCs/>
        </w:rPr>
        <w:t xml:space="preserve">Productivity by remote work intensity groups</w:t>
      </w:r>
    </w:p>
    <w:p>
      <w:pPr>
        <w:pStyle w:val="BodyText"/>
      </w:pPr>
      <w:r>
        <w:t xml:space="preserve">To complement the continuous analysis, productivity changes are also examined by grouping individuals into remote work intensity categories (0–20%, 20–50%, 50–80%, and 80–100%). This binned representation allows for a clearer comparison of productivity distributions across levels of remote work.</w:t>
      </w:r>
    </w:p>
    <w:p>
      <w:pPr>
        <w:pStyle w:val="BodyText"/>
      </w:pPr>
      <w:r>
        <w:t xml:space="preserve">The results show that median productivity gains increase once remote work exceeds 20% of working time and stabilise around +20% for medium to high levels of remote work intensity. Mean productivity changes follow a similar pattern, rising from approximately +10% in the lowest group to nearly +20% in the highest group.</w:t>
      </w:r>
    </w:p>
    <w:p>
      <w:pPr>
        <w:pStyle w:val="BodyText"/>
      </w:pPr>
      <w:r>
        <w:t xml:space="preserve">However, the distributions overlap substantially across groups, with wide dispersion in all categories and both positive and negative productivity changes observed at every level of remote work intensity. This highlights considerable individual heterogeneity and reinforces the conclusion that remote work intensity alone is insufficient to explain productivity outcomes.</w:t>
      </w:r>
    </w:p>
    <w:p>
      <w:pPr>
        <w:pStyle w:val="SourceCode"/>
      </w:pPr>
      <w:r>
        <w:rPr>
          <w:rStyle w:val="VerbatimChar"/>
        </w:rPr>
        <w:t xml:space="preserve">Unable to display output for mime type(s): text/html</w:t>
      </w:r>
    </w:p>
    <w:p>
      <w:pPr>
        <w:pStyle w:val="FirstParagraph"/>
      </w:pPr>
      <w:r>
        <w:rPr>
          <w:b/>
          <w:bCs/>
        </w:rPr>
        <w:t xml:space="preserve">Extended regression model with controls</w:t>
      </w:r>
    </w:p>
    <w:p>
      <w:pPr>
        <w:pStyle w:val="BodyText"/>
      </w:pPr>
      <w:r>
        <w:t xml:space="preserve">The analysis is then extended by including additional explanatory variables that capture individual and organisational characteristics:</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β</m:t>
              </m:r>
            </m:e>
            <m:sub>
              <m:r>
                <m:t>2</m:t>
              </m:r>
            </m:sub>
          </m:sSub>
          <m:r>
            <m:t> </m:t>
          </m:r>
          <m:sSub>
            <m:e>
              <m:r>
                <m:rPr>
                  <m:nor/>
                  <m:sty m:val="p"/>
                </m:rPr>
                <m:t>Age</m:t>
              </m:r>
            </m:e>
            <m:sub>
              <m:r>
                <m:t>i</m:t>
              </m:r>
            </m:sub>
          </m:sSub>
          <m:r>
            <m:rPr>
              <m:sty m:val="p"/>
            </m:rPr>
            <m:t>+</m:t>
          </m:r>
          <m:sSub>
            <m:e>
              <m:r>
                <m:t>β</m:t>
              </m:r>
            </m:e>
            <m:sub>
              <m:r>
                <m:t>3</m:t>
              </m:r>
            </m:sub>
          </m:sSub>
          <m:r>
            <m:t> </m:t>
          </m:r>
          <m:sSub>
            <m:e>
              <m:r>
                <m:rPr>
                  <m:nor/>
                  <m:sty m:val="p"/>
                </m:rPr>
                <m:t>OrganisationSize</m:t>
              </m:r>
            </m:e>
            <m:sub>
              <m:r>
                <m:t>i</m:t>
              </m:r>
            </m:sub>
          </m:sSub>
          <m:r>
            <m:rPr>
              <m:sty m:val="p"/>
            </m:rPr>
            <m:t>+</m:t>
          </m:r>
          <m:sSub>
            <m:e>
              <m:r>
                <m:t>β</m:t>
              </m:r>
            </m:e>
            <m:sub>
              <m:r>
                <m:t>4</m:t>
              </m:r>
            </m:sub>
          </m:sSub>
          <m:r>
            <m:t> </m:t>
          </m:r>
          <m:sSub>
            <m:e>
              <m:r>
                <m:rPr>
                  <m:nor/>
                  <m:sty m:val="p"/>
                </m:rPr>
                <m:t>ManagingPosition</m:t>
              </m:r>
            </m:e>
            <m:sub>
              <m:r>
                <m:t>i</m:t>
              </m:r>
            </m:sub>
          </m:sSub>
          <m:r>
            <m:rPr>
              <m:sty m:val="p"/>
            </m:rPr>
            <m:t>+</m:t>
          </m:r>
          <m:sSub>
            <m:e>
              <m:r>
                <m:t>β</m:t>
              </m:r>
            </m:e>
            <m:sub>
              <m:r>
                <m:t>5</m:t>
              </m:r>
            </m:sub>
          </m:sSub>
          <m:r>
            <m:t> </m:t>
          </m:r>
          <m:sSub>
            <m:e>
              <m:r>
                <m:rPr>
                  <m:nor/>
                  <m:sty m:val="p"/>
                </m:rPr>
                <m:t>OrgEncouragement</m:t>
              </m:r>
            </m:e>
            <m:sub>
              <m:r>
                <m:t>i</m:t>
              </m:r>
            </m:sub>
          </m:sSub>
          <m:r>
            <m:rPr>
              <m:sty m:val="p"/>
            </m:rPr>
            <m:t>+</m:t>
          </m:r>
          <m:sSub>
            <m:e>
              <m:r>
                <m:t>β</m:t>
              </m:r>
            </m:e>
            <m:sub>
              <m:r>
                <m:t>6</m:t>
              </m:r>
            </m:sub>
          </m:sSub>
          <m:r>
            <m:t> </m:t>
          </m:r>
          <m:sSub>
            <m:e>
              <m:r>
                <m:rPr>
                  <m:nor/>
                  <m:sty m:val="p"/>
                </m:rPr>
                <m:t>Collaboration</m:t>
              </m:r>
            </m:e>
            <m:sub>
              <m:r>
                <m:t>i</m:t>
              </m:r>
            </m:sub>
          </m:sSub>
          <m:r>
            <m:rPr>
              <m:sty m:val="p"/>
            </m:rPr>
            <m:t>+</m:t>
          </m:r>
          <m:sSub>
            <m:e>
              <m:r>
                <m:t>ε</m:t>
              </m:r>
            </m:e>
            <m:sub>
              <m:r>
                <m:t>i</m:t>
              </m:r>
            </m:sub>
          </m:sSub>
        </m:oMath>
      </m:oMathPara>
    </w:p>
    <w:p>
      <w:pPr>
        <w:pStyle w:val="FirstParagraph"/>
      </w:pPr>
      <w:r>
        <w:t xml:space="preserve">These variables were selected based on exploratory analysis and correlation checks, as they showed meaningful associations with productivity change and are directly related to working conditions under remote work.</w:t>
      </w:r>
      <w:r>
        <w:t xml:space="preserve"> </w:t>
      </w:r>
      <w:r>
        <w:t xml:space="preserve">After including these controls, the coefficient on remote work intensity remains positive and statistically significant, although slightly smaller, at around 9.6. Importantly, the explanatory power of the model improves: the R-squared increases from approximately 0.02 in the baseline model to about 0.05 in the extended specification. This increase indicates that organisational context and collaboration quality account for an additional share of the variation in productivity changes.</w:t>
      </w:r>
      <w:r>
        <w:t xml:space="preserve"> </w:t>
      </w:r>
      <w:r>
        <w:t xml:space="preserve">Among the control variables, perceived collaboration quality when working remotely shows a strong positive association with productivity, while organisational encouragement of remote work is negatively associated. Age and managing position do not exhibit statistically significant effects once other factors are controlled for.</w:t>
      </w:r>
    </w:p>
    <w:bookmarkEnd w:id="43"/>
    <w:bookmarkEnd w:id="44"/>
    <w:bookmarkStart w:id="45" w:name="interpretation"/>
    <w:p>
      <w:pPr>
        <w:pStyle w:val="Heading1"/>
      </w:pPr>
      <w:r>
        <w:t xml:space="preserve">Interpretation</w:t>
      </w:r>
    </w:p>
    <w:p>
      <w:pPr>
        <w:pStyle w:val="FirstParagraph"/>
      </w:pPr>
      <w:r>
        <w:t xml:space="preserve">Overall, the results convey a consistent message across graphical analysis and regression models. Remote work intensity is positively associated with productivity change, but the relationship is weak in magnitude and explains only a limited fraction of productivity differences. The increase in R-squared when adding organisational and collaboration-related variables confirms that productivity outcomes under remote work are influenced by multiple factors. While remote work intensity plays a role, individual heterogeneity and organisational conditions appear to be more important drivers of productivity changes.</w:t>
      </w:r>
    </w:p>
    <w:bookmarkEnd w:id="45"/>
    <w:bookmarkStart w:id="58" w:name="conclusion"/>
    <w:p>
      <w:pPr>
        <w:pStyle w:val="Heading1"/>
      </w:pPr>
      <w:r>
        <w:t xml:space="preserve">Conclusion</w:t>
      </w:r>
    </w:p>
    <w:bookmarkStart w:id="46" w:name="summary"/>
    <w:p>
      <w:pPr>
        <w:pStyle w:val="Heading2"/>
      </w:pPr>
      <w:r>
        <w:t xml:space="preserve">Summary</w:t>
      </w:r>
    </w:p>
    <w:p>
      <w:pPr>
        <w:pStyle w:val="FirstParagraph"/>
      </w:pPr>
      <w:r>
        <w:t xml:space="preserve">In this project, we analyzed how remote work affects employees’ productivity, social well-being, and job satisfaction using the Remote Working Survey (2020), which includes 1,507 respondents. We investigated our four research questions using descriptive statistics, visualizations, and correlation analysis after cleaning the dataset and translating qualitative responses into numerical values. Our results show that the effect of remote work on productivity is highly heterogeneous. While many respondents reported no change, the productivity distribution displayed a slight negative skew (–0.13), meaning productivity gains were more common than losses. Productivity did not vary significantly by organisation size, and the correlation between remote-work percentage and productivity change was positive but weak (r = 0.14), suggesting that working remotely more often is associated with a small increase in perceived productivity.</w:t>
      </w:r>
    </w:p>
    <w:p>
      <w:pPr>
        <w:pStyle w:val="BodyText"/>
      </w:pPr>
      <w:r>
        <w:t xml:space="preserve">The clearest pattern we found was the improvement in work–life balance. Remote work nearly eliminated commuting time, and our comparison showed that personal and family time increased from 39.6% to 46% of the day on average when employees worked from home. This extra time probably improved mental health and could be responsible for the overall high desire for remote work. Indicators of collaboration and connection on the social side were centered around neutral responses, showing that employees’ feeling of social connection was neither greatly improved nor harmed by distant work. Overall, our research indicates that working remotely can boost well-being and productivity, mainly through time savings and better daily time management, but its effects on social interaction seem to be less clear. These findings help us better understand how employees’ lives are shaped by remote work and directly address the objectives of our project.</w:t>
      </w:r>
    </w:p>
    <w:bookmarkEnd w:id="46"/>
    <w:bookmarkStart w:id="55" w:name="limitations"/>
    <w:p>
      <w:pPr>
        <w:pStyle w:val="Heading2"/>
      </w:pPr>
      <w:r>
        <w:t xml:space="preserve">Limitations</w:t>
      </w:r>
    </w:p>
    <w:p>
      <w:pPr>
        <w:pStyle w:val="FirstParagraph"/>
      </w:pPr>
      <w:r>
        <w:t xml:space="preserve">Although our project provides meaningful insights, it also has several limitations that should be acknowledged. First, the dataset comes from a single region (New South Wales, Australia) and only reflects the year 2020, when remote work was still relatively new due to the COVID-19 pandemic. This context may not represent long-term or post-pandemic habits, which limits how generalizable our findings are to other geographic areas, industries, or years. The data also contained several extreme outliers (for example, two respondents aged 120), as well as categories with very small sample sizes such as</w:t>
      </w:r>
      <w:r>
        <w:t xml:space="preserve"> </w:t>
      </w:r>
      <w:r>
        <w:t xml:space="preserve">“rather not say”</w:t>
      </w:r>
      <w:r>
        <w:t xml:space="preserve"> </w:t>
      </w:r>
      <w:r>
        <w:t xml:space="preserve">for gender. We removed these categories to avoid inconsistent comparisons, but doing so slightly reduces the diversity of our sample.</w:t>
      </w:r>
    </w:p>
    <w:p>
      <w:pPr>
        <w:pStyle w:val="BodyText"/>
      </w:pPr>
      <w:r>
        <w:rPr>
          <w:b/>
          <w:bCs/>
        </w:rPr>
        <w:t xml:space="preserve">Comparative Analysis of the Impact of COVID-19 (United States, India, France, Brazil, Australia)</w:t>
      </w:r>
    </w:p>
    <w:p>
      <w:pPr>
        <w:pStyle w:val="BodyText"/>
      </w:pPr>
      <w:r>
        <w:t xml:space="preserve">The comparative analysis highlights substantial disparities in the evolution and impact of the COVID-19 pandemic across the five selected countries. The United States records the highest number of total cases, followed by India, France, and Brazil, whereas Australia clearly stands out with a significantly lower number of reported infections.</w:t>
      </w:r>
      <w:r>
        <w:t xml:space="preserve"> </w:t>
      </w:r>
      <w:r>
        <w:t xml:space="preserve">With respect to mortality, a similar pattern is observed. The United States and Brazil exhibit the highest death tolls among the sample, while France occupies an intermediate position. In contrast, Australia displays a markedly lower mortality level, indicating a comparatively limited health impact of the pandemic.</w:t>
      </w:r>
      <w:r>
        <w:t xml:space="preserve"> </w:t>
      </w:r>
      <w:r>
        <w:t xml:space="preserve">The analysis of active cases, defined as the number of individuals currently infected (total cases minus recoveries and deaths), reveals that active infections remained relatively high in the United States and Brazil at the time of data collection.</w:t>
      </w:r>
    </w:p>
    <w:p>
      <w:pPr>
        <w:pStyle w:val="BodyText"/>
      </w:pPr>
      <w:r>
        <w:t xml:space="preserve">Interpretation of the Australian Case</w:t>
      </w:r>
    </w:p>
    <w:p>
      <w:pPr>
        <w:pStyle w:val="BodyText"/>
      </w:pPr>
      <w:r>
        <w:t xml:space="preserve">Based on our interpretation of the graphical results, Australia appears to have been relatively less affected by the COVID-19 pandemic, particularly in terms of mortality and active infections. Several structural and geographical factors may help explain this outcome. First, Australia has a comparatively younger population, and younger age groups were statistically less exposed to severe forms of the disease. Furthermore, the country is characterized by a large territory combined with a low population density, which naturally limits close interpersonal contact and reduces the speed of viral transmission.</w:t>
      </w:r>
      <w:r>
        <w:t xml:space="preserve"> </w:t>
      </w:r>
      <w:r>
        <w:t xml:space="preserve">In addition, Australia’s geographical isolation likely delayed the initial introduction of the virus and facilitated the implementation of strict border control measures, which played a critical role during the early stages of the pandemic. Finally, early public health interventions and the overall efficiency of the healthcare system may also have contributed to limiting severe cases and fatalities.</w:t>
      </w:r>
    </w:p>
    <w:bookmarkStart w:id="54" w:name="fig-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0" w:name="fig-before"/>
                <w:p>
                  <w:pPr>
                    <w:pStyle w:val="Compact"/>
                    <w:jc w:val="center"/>
                    <w:jc w:val="left"/>
                  </w:pPr>
                  <w:r>
                    <w:drawing>
                      <wp:inline>
                        <wp:extent cx="2971800" cy="2024223"/>
                        <wp:effectExtent b="0" l="0" r="0" t="0"/>
                        <wp:docPr descr="" title="" id="48" name="Picture"/>
                        <a:graphic>
                          <a:graphicData uri="http://schemas.openxmlformats.org/drawingml/2006/picture">
                            <pic:pic>
                              <pic:nvPicPr>
                                <pic:cNvPr descr="images/Australia_vs_countries.png" id="49" name="Picture"/>
                                <pic:cNvPicPr>
                                  <a:picLocks noChangeArrowheads="1" noChangeAspect="1"/>
                                </pic:cNvPicPr>
                              </pic:nvPicPr>
                              <pic:blipFill>
                                <a:blip r:embed="rId47"/>
                                <a:stretch>
                                  <a:fillRect/>
                                </a:stretch>
                              </pic:blipFill>
                              <pic:spPr bwMode="auto">
                                <a:xfrm>
                                  <a:off x="0" y="0"/>
                                  <a:ext cx="2971800" cy="20242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Before debugging</w:t>
                  </w:r>
                </w:p>
                <w:bookmarkEnd w:id="50"/>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3" w:name="fig-after"/>
                <w:p>
                  <w:pPr>
                    <w:pStyle w:val="Compact"/>
                    <w:jc w:val="center"/>
                    <w:jc w:val="left"/>
                  </w:pPr>
                  <w:r>
                    <w:drawing>
                      <wp:inline>
                        <wp:extent cx="2971800" cy="2024223"/>
                        <wp:effectExtent b="0" l="0" r="0" t="0"/>
                        <wp:docPr descr="" title="" id="51" name="Picture"/>
                        <a:graphic>
                          <a:graphicData uri="http://schemas.openxmlformats.org/drawingml/2006/picture">
                            <pic:pic>
                              <pic:nvPicPr>
                                <pic:cNvPr descr="images/Australia_vs_countries.png" id="52" name="Picture"/>
                                <pic:cNvPicPr>
                                  <a:picLocks noChangeArrowheads="1" noChangeAspect="1"/>
                                </pic:cNvPicPr>
                              </pic:nvPicPr>
                              <pic:blipFill>
                                <a:blip r:embed="rId47"/>
                                <a:stretch>
                                  <a:fillRect/>
                                </a:stretch>
                              </pic:blipFill>
                              <pic:spPr bwMode="auto">
                                <a:xfrm>
                                  <a:off x="0" y="0"/>
                                  <a:ext cx="2971800" cy="20242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After debugging</w:t>
                  </w:r>
                </w:p>
                <w:bookmarkEnd w:id="53"/>
              </w:tc>
            </w:tr>
          </w:tbl>
          <w:p/>
        </w:tc>
      </w:tr>
    </w:tbl>
    <w:p>
      <w:pPr>
        <w:pStyle w:val="BodyText"/>
      </w:pPr>
      <w:pPr>
        <w:spacing w:before="200"/>
        <w:pStyle w:val="ImageCaption"/>
      </w:pPr>
      <w:r>
        <w:t xml:space="preserve">Figure 1: The emotional journey of a data scientist debugging their code</w:t>
      </w:r>
    </w:p>
    <w:bookmarkEnd w:id="54"/>
    <w:p>
      <w:pPr>
        <w:pStyle w:val="BodyText"/>
      </w:pPr>
      <w:r>
        <w:t xml:space="preserve">From a methodological standpoint, our study mostly uses correlation analysis and descriptive statistics, which help in finding patterns but cannot allow us to prove causation. For example, even if we discovered a slight positive correlation (r = 0.14) between the percentage of remote work and productivity change, this does not show that remote work raises productivity. These results could be impacted by additional unobserved factors including home environment, digital technologies, management assistance, or individual preferences. In addition, a number of important factors such as productivity, teamwork, and satisfaction are self-reported, which may create bias because workers may exaggerate or understate their experiences.</w:t>
      </w:r>
    </w:p>
    <w:bookmarkEnd w:id="55"/>
    <w:bookmarkStart w:id="56" w:name="future-work"/>
    <w:p>
      <w:pPr>
        <w:pStyle w:val="Heading2"/>
      </w:pPr>
      <w:r>
        <w:t xml:space="preserve">Future Work</w:t>
      </w:r>
    </w:p>
    <w:p>
      <w:pPr>
        <w:pStyle w:val="Compact"/>
        <w:numPr>
          <w:ilvl w:val="0"/>
          <w:numId w:val="1018"/>
        </w:numPr>
      </w:pPr>
      <w:r>
        <w:rPr>
          <w:b/>
          <w:bCs/>
        </w:rPr>
        <w:t xml:space="preserve">Extend dataset:</w:t>
      </w:r>
      <w:r>
        <w:t xml:space="preserve"> </w:t>
      </w:r>
      <w:r>
        <w:t xml:space="preserve">“Include the 2021 wave of the Remote Working Survey and perform longitudinal comparisons to track changes over time.”</w:t>
      </w:r>
    </w:p>
    <w:p>
      <w:pPr>
        <w:pStyle w:val="Compact"/>
        <w:numPr>
          <w:ilvl w:val="0"/>
          <w:numId w:val="1018"/>
        </w:numPr>
      </w:pPr>
      <w:r>
        <w:rPr>
          <w:b/>
          <w:bCs/>
        </w:rPr>
        <w:t xml:space="preserve">Enhance analytical approach:</w:t>
      </w:r>
      <w:r>
        <w:t xml:space="preserve"> </w:t>
      </w:r>
      <w:r>
        <w:t xml:space="preserve">“Use advanced statistical models like multiple regression to identify key predictors of productivity and satisfaction.”</w:t>
      </w:r>
    </w:p>
    <w:p>
      <w:pPr>
        <w:pStyle w:val="Compact"/>
        <w:numPr>
          <w:ilvl w:val="0"/>
          <w:numId w:val="1018"/>
        </w:numPr>
      </w:pPr>
      <w:r>
        <w:rPr>
          <w:b/>
          <w:bCs/>
        </w:rPr>
        <w:t xml:space="preserve">Broaden contextual factors:</w:t>
      </w:r>
      <w:r>
        <w:t xml:space="preserve"> </w:t>
      </w:r>
      <w:r>
        <w:t xml:space="preserve">“Add variables on digital tools, communication habits, and mental health indicators for richer insights.”</w:t>
      </w:r>
    </w:p>
    <w:p>
      <w:pPr>
        <w:pStyle w:val="Compact"/>
        <w:numPr>
          <w:ilvl w:val="0"/>
          <w:numId w:val="1018"/>
        </w:numPr>
      </w:pPr>
      <w:r>
        <w:rPr>
          <w:b/>
          <w:bCs/>
        </w:rPr>
        <w:t xml:space="preserve">Integrate mixed data types:</w:t>
      </w:r>
      <w:r>
        <w:t xml:space="preserve"> </w:t>
      </w:r>
      <w:r>
        <w:t xml:space="preserve">“Combine quantitative survey data with qualitative responses to capture nuanced experiences of remote work in other regions not only Australia.”</w:t>
      </w:r>
    </w:p>
    <w:bookmarkEnd w:id="56"/>
    <w:bookmarkStart w:id="57" w:name="references"/>
    <w:p>
      <w:pPr>
        <w:pStyle w:val="Heading2"/>
      </w:pPr>
      <w:r>
        <w:t xml:space="preserve">References</w:t>
      </w:r>
    </w:p>
    <w:p>
      <w:pPr>
        <w:pStyle w:val="Compact"/>
        <w:numPr>
          <w:ilvl w:val="0"/>
          <w:numId w:val="1019"/>
        </w:numPr>
      </w:pPr>
      <w:r>
        <w:t xml:space="preserve">NSW Government. (2020). Remote Working Survey 2020 Dataset. Retrieved from https://data.nsw.gov.au/data/dataset/nsw-remote-working-survey</w:t>
      </w:r>
      <w:r>
        <w:t xml:space="preserve"> </w:t>
      </w:r>
      <w:r>
        <w:t xml:space="preserve">(Used to describe data source, survey methodology, and metadata.)</w:t>
      </w:r>
    </w:p>
    <w:p>
      <w:pPr>
        <w:pStyle w:val="Compact"/>
        <w:numPr>
          <w:ilvl w:val="0"/>
          <w:numId w:val="1019"/>
        </w:numPr>
      </w:pPr>
      <w:r>
        <w:t xml:space="preserve">Pandas Documentation. (n.d.). Pandas User Guide. Retrieved from https://pandas.pydata.org/docs/</w:t>
      </w:r>
      <w:r>
        <w:t xml:space="preserve"> </w:t>
      </w:r>
      <w:r>
        <w:t xml:space="preserve">(Referenced for operations such as rename(), replace(), map(), astype(), errors=</w:t>
      </w:r>
      <w:r>
        <w:t xml:space="preserve">“coerce”</w:t>
      </w:r>
      <w:r>
        <w:t xml:space="preserve">, value_counts(), info().)</w:t>
      </w:r>
    </w:p>
    <w:p>
      <w:pPr>
        <w:pStyle w:val="Compact"/>
        <w:numPr>
          <w:ilvl w:val="0"/>
          <w:numId w:val="1019"/>
        </w:numPr>
      </w:pPr>
      <w:r>
        <w:t xml:space="preserve">Seaborn Documentation. (n.d.). Seaborn: Statistical Data Visualization. Retrieved from https://seaborn.pydata.org/</w:t>
      </w:r>
      <w:r>
        <w:t xml:space="preserve"> </w:t>
      </w:r>
      <w:r>
        <w:t xml:space="preserve">Matplotlib Documentation. (n.d.). Matplotlib: Visualization with Python. Retrieved from https://matplotlib.org/stable/</w:t>
      </w:r>
      <w:r>
        <w:t xml:space="preserve"> </w:t>
      </w:r>
      <w:r>
        <w:t xml:space="preserve">(Used for histograms, boxplots, and univariate analysis.)</w:t>
      </w:r>
    </w:p>
    <w:p>
      <w:pPr>
        <w:pStyle w:val="Compact"/>
        <w:numPr>
          <w:ilvl w:val="0"/>
          <w:numId w:val="1019"/>
        </w:numPr>
      </w:pPr>
      <w:r>
        <w:t xml:space="preserve">Quarto Documentation. (n.d.). Quarto Guide. Retrieved from https://quarto.org/</w:t>
      </w:r>
      <w:r>
        <w:t xml:space="preserve"> </w:t>
      </w:r>
      <w:r>
        <w:t xml:space="preserve">(Referenced for callouts, section structure, code blocks, and PDF/HTML formatting best practices.)</w:t>
      </w:r>
    </w:p>
    <w:p>
      <w:pPr>
        <w:pStyle w:val="Compact"/>
        <w:numPr>
          <w:ilvl w:val="0"/>
          <w:numId w:val="1019"/>
        </w:numPr>
      </w:pPr>
      <w:r>
        <w:t xml:space="preserve">Joshi, A., Kale, S., Chandel, S., &amp; Pal, D. K. (2015). Likert Scale: What it is &amp; How to Use It. Retrieved from https://www.researchgate.net/publication/281874183_Likert_Scale_What_it_is_and_How_to_Use_It</w:t>
      </w:r>
      <w:r>
        <w:t xml:space="preserve"> </w:t>
      </w:r>
      <w:r>
        <w:t xml:space="preserve">(Implicitly used to justify converting textual modalities to numeric values 1–5.)</w:t>
      </w:r>
    </w:p>
    <w:p>
      <w:pPr>
        <w:pStyle w:val="Compact"/>
        <w:numPr>
          <w:ilvl w:val="0"/>
          <w:numId w:val="1019"/>
        </w:numPr>
      </w:pPr>
      <w:r>
        <w:t xml:space="preserve">Charalampous, M., Grant, C. A., Tramontano, C., &amp; Michailidis, E. (2022). Investigating the Role of Remote Working on Employees’ Performance and Well-Being: An Evidence-Based Systematic Review. International Journal of Environmental Research and Public Health, 19(19), 12373. Retrieved from https://pmc.ncbi.nlm.nih.gov/articles/PMC9566387/</w:t>
      </w:r>
    </w:p>
    <w:p>
      <w:pPr>
        <w:pStyle w:val="Compact"/>
        <w:numPr>
          <w:ilvl w:val="0"/>
          <w:numId w:val="1019"/>
        </w:numPr>
      </w:pPr>
      <w:r>
        <w:t xml:space="preserve">García-Sánchez, E., &amp; García-Sánchez, I. M. (2024). Remote workers’ well-being: Are innovative organizations really concerned? A bibliometrics analysis. Journal of Innovation &amp; Knowledge, 9(4), 100313. Retrieved from https://www.sciencedirect.com/science/article/pii/S2444569X24001343</w:t>
      </w:r>
    </w:p>
    <w:p>
      <w:pPr>
        <w:pStyle w:val="Compact"/>
        <w:numPr>
          <w:ilvl w:val="0"/>
          <w:numId w:val="1019"/>
        </w:numPr>
      </w:pPr>
      <w:r>
        <w:t xml:space="preserve">Bloom, N., Liang, J., Roberts, J., &amp; Ying, Z. J. (2013). Does Working from Home Work? Evidence from a Chinese Experiment. National Bureau of Economic Research Working Paper No. 18871. Retrieved from https://www.nber.org/papers/w18871</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7" Target="media/rId47.png" /><Relationship Type="http://schemas.openxmlformats.org/officeDocument/2006/relationships/hyperlink" Id="rId24" Target="https://data.nsw.gov.au/data/dataset/nsw-remote-working-survey" TargetMode="External" /></Relationships>
</file>

<file path=word/_rels/footnotes.xml.rels><?xml version="1.0" encoding="UTF-8"?><Relationships xmlns="http://schemas.openxmlformats.org/package/2006/relationships"><Relationship Type="http://schemas.openxmlformats.org/officeDocument/2006/relationships/hyperlink" Id="rId24" Target="https://data.nsw.gov.au/data/dataset/nsw-remote-working-surv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2025-12-16T15:05:58Z</dcterms:created>
  <dcterms:modified xsi:type="dcterms:W3CDTF">2025-12-16T15:05:58Z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