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32.png" ContentType="image/png"/>
  <Override PartName="/word/media/rId21.png" ContentType="image/png"/>
  <Override PartName="/word/media/rId88.png" ContentType="image/png"/>
  <Override PartName="/word/media/rId35.jpg" ContentType="image/jpeg"/>
  <Override PartName="/word/media/rId39.jpg" ContentType="image/jpeg"/>
  <Override PartName="/word/media/rId64.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1"/>
        </w:numPr>
      </w:pPr>
      <w:r>
        <w:rPr>
          <w:rStyle w:val="VerbatimChar"/>
        </w:rPr>
        <w:t xml:space="preserve">#| echo: false</w:t>
      </w:r>
      <w:r>
        <w:t xml:space="preserve"> </w:t>
      </w:r>
      <w:r>
        <w:t xml:space="preserve">- Hide code, show only output</w:t>
      </w:r>
    </w:p>
    <w:p>
      <w:pPr>
        <w:pStyle w:val="Compact"/>
        <w:numPr>
          <w:ilvl w:val="0"/>
          <w:numId w:val="1001"/>
        </w:numPr>
      </w:pPr>
      <w:r>
        <w:rPr>
          <w:rStyle w:val="VerbatimChar"/>
        </w:rPr>
        <w:t xml:space="preserve">#| eval: false</w:t>
      </w:r>
      <w:r>
        <w:t xml:space="preserve"> </w:t>
      </w:r>
      <w:r>
        <w:t xml:space="preserve">- Show code but don’t run it</w:t>
      </w:r>
    </w:p>
    <w:p>
      <w:pPr>
        <w:pStyle w:val="Compact"/>
        <w:numPr>
          <w:ilvl w:val="0"/>
          <w:numId w:val="1001"/>
        </w:numPr>
      </w:pPr>
      <w:r>
        <w:rPr>
          <w:rStyle w:val="VerbatimChar"/>
        </w:rPr>
        <w:t xml:space="preserve">#| output: false</w:t>
      </w:r>
      <w:r>
        <w:t xml:space="preserve"> </w:t>
      </w:r>
      <w:r>
        <w:t xml:space="preserve">- Run code but hide output</w:t>
      </w:r>
    </w:p>
    <w:p>
      <w:pPr>
        <w:pStyle w:val="Compact"/>
        <w:numPr>
          <w:ilvl w:val="0"/>
          <w:numId w:val="1001"/>
        </w:numPr>
      </w:pPr>
      <w:r>
        <w:rPr>
          <w:rStyle w:val="VerbatimChar"/>
        </w:rPr>
        <w:t xml:space="preserve">#| warning: false</w:t>
      </w:r>
      <w:r>
        <w:t xml:space="preserve"> </w:t>
      </w:r>
      <w:r>
        <w:t xml:space="preserve">- Suppress warning messages</w:t>
      </w:r>
    </w:p>
    <w:p>
      <w:pPr>
        <w:pStyle w:val="Compact"/>
        <w:numPr>
          <w:ilvl w:val="0"/>
          <w:numId w:val="1001"/>
        </w:numPr>
      </w:pPr>
      <w:r>
        <w:rPr>
          <w:rStyle w:val="VerbatimChar"/>
        </w:rPr>
        <w:t xml:space="preserve">#| fig-cap: "My Plot"</w:t>
      </w:r>
      <w:r>
        <w:t xml:space="preserve"> </w:t>
      </w:r>
      <w:r>
        <w:t xml:space="preserve">- Add figure caption</w:t>
      </w:r>
    </w:p>
    <w:p>
      <w:pPr>
        <w:pStyle w:val="Compact"/>
        <w:numPr>
          <w:ilvl w:val="0"/>
          <w:numId w:val="1001"/>
        </w:numPr>
      </w:pPr>
      <w:r>
        <w:rPr>
          <w:rStyle w:val="VerbatimChar"/>
        </w:rPr>
        <w:t xml:space="preserve">#| label: fig-myplot</w:t>
      </w:r>
      <w:r>
        <w:t xml:space="preserve"> </w:t>
      </w:r>
      <w:r>
        <w:t xml:space="preserve">- Label for cross-referencing</w:t>
      </w:r>
    </w:p>
    <w:p>
      <w:pPr>
        <w:pStyle w:val="FirstParagraph"/>
      </w:pPr>
      <w:r>
        <w:t xml:space="preserve">Reference with</w:t>
      </w:r>
      <w:r>
        <w:t xml:space="preserve"> </w:t>
      </w:r>
      <w:r>
        <w:rPr>
          <w:rStyle w:val="VerbatimChar"/>
        </w:rPr>
        <w:t xml:space="preserve">@eq-loss-ratio</w:t>
      </w:r>
      <w:r>
        <w:t xml:space="preserve"> </w:t>
      </w:r>
      <w:r>
        <w:t xml:space="preserve">→</w:t>
      </w:r>
      <w:r>
        <w:t xml:space="preserve"> </w:t>
      </w:r>
      <w:r>
        <w:rPr>
          <w:b/>
          <w:bCs/>
        </w:rPr>
        <w:t xml:space="preserve">?@eq-loss-ratio</w:t>
      </w:r>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r>
        <w:t xml:space="preserve">More at</w:t>
      </w:r>
      <w:r>
        <w:t xml:space="preserve"> </w:t>
      </w:r>
      <w:hyperlink r:id="rId20">
        <w:r>
          <w:rPr>
            <w:rStyle w:val="Hyperlink"/>
          </w:rPr>
          <w:t xml:space="preserve">LaTeX Math Symbols</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Working examples in this template:</w:t>
            </w:r>
          </w:p>
          <w:p>
            <w:pPr>
              <w:pStyle w:val="Compact"/>
              <w:numPr>
                <w:ilvl w:val="0"/>
                <w:numId w:val="1002"/>
              </w:numPr>
            </w:pPr>
            <w:r>
              <w:t xml:space="preserve">“As discussed in</w:t>
            </w:r>
            <w:r>
              <w:t xml:space="preserve"> </w:t>
            </w:r>
            <w:hyperlink w:anchor="sec-appendix-plots">
              <w:r>
                <w:rPr>
                  <w:rStyle w:val="Hyperlink"/>
                </w:rPr>
                <w:t xml:space="preserve">Section 6.4.1</w:t>
              </w:r>
            </w:hyperlink>
            <w:r>
              <w:t xml:space="preserve">, we provide additional visualizations.”</w:t>
            </w:r>
          </w:p>
          <w:p>
            <w:pPr>
              <w:pStyle w:val="Compact"/>
              <w:numPr>
                <w:ilvl w:val="0"/>
                <w:numId w:val="1002"/>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2"/>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24">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3"/>
              </w:numPr>
            </w:pPr>
            <w:r>
              <w:rPr>
                <w:b/>
                <w:bCs/>
              </w:rPr>
              <w:t xml:space="preserve">Organize multiple related visualizations</w:t>
            </w:r>
            <w:r>
              <w:t xml:space="preserve"> </w:t>
            </w:r>
            <w:r>
              <w:t xml:space="preserve">without cluttering the page</w:t>
            </w:r>
          </w:p>
          <w:p>
            <w:pPr>
              <w:pStyle w:val="Compact"/>
              <w:numPr>
                <w:ilvl w:val="0"/>
                <w:numId w:val="1003"/>
              </w:numPr>
            </w:pPr>
            <w:r>
              <w:rPr>
                <w:b/>
                <w:bCs/>
              </w:rPr>
              <w:t xml:space="preserve">Show different views</w:t>
            </w:r>
            <w:r>
              <w:t xml:space="preserve"> </w:t>
            </w:r>
            <w:r>
              <w:t xml:space="preserve">of the same data (distribution, summary, box plot)</w:t>
            </w:r>
          </w:p>
          <w:p>
            <w:pPr>
              <w:pStyle w:val="Compact"/>
              <w:numPr>
                <w:ilvl w:val="0"/>
                <w:numId w:val="1003"/>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4"/>
              </w:numPr>
            </w:pPr>
            <w:r>
              <w:t xml:space="preserve">Relative to current file:</w:t>
            </w:r>
            <w:r>
              <w:t xml:space="preserve"> </w:t>
            </w:r>
            <w:r>
              <w:rPr>
                <w:rStyle w:val="VerbatimChar"/>
              </w:rPr>
              <w:t xml:space="preserve">images/plot.png</w:t>
            </w:r>
          </w:p>
          <w:p>
            <w:pPr>
              <w:pStyle w:val="Compact"/>
              <w:numPr>
                <w:ilvl w:val="0"/>
                <w:numId w:val="1004"/>
              </w:numPr>
            </w:pPr>
            <w:r>
              <w:t xml:space="preserve">From project root:</w:t>
            </w:r>
            <w:r>
              <w:t xml:space="preserve"> </w:t>
            </w:r>
            <w:r>
              <w:rPr>
                <w:rStyle w:val="VerbatimChar"/>
              </w:rPr>
              <w:t xml:space="preserve">../data/plots/figure.png</w:t>
            </w:r>
          </w:p>
          <w:p>
            <w:pPr>
              <w:pStyle w:val="Compact"/>
              <w:numPr>
                <w:ilvl w:val="0"/>
                <w:numId w:val="1004"/>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05"/>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05"/>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05"/>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06"/>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31">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43"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before"/>
                      <w:p>
                        <w:pPr>
                          <w:pStyle w:val="Compact"/>
                          <w:jc w:val="center"/>
                          <w:jc w:val="left"/>
                        </w:pPr>
                        <w:r>
                          <w:drawing>
                            <wp:inline>
                              <wp:extent cx="2971800" cy="3076335"/>
                              <wp:effectExtent b="0" l="0" r="0" t="0"/>
                              <wp:docPr descr="" title="" id="36" name="Picture"/>
                              <a:graphic>
                                <a:graphicData uri="http://schemas.openxmlformats.org/drawingml/2006/picture">
                                  <pic:pic>
                                    <pic:nvPicPr>
                                      <pic:cNvPr descr="images/meme1.jpg" id="37" name="Picture"/>
                                      <pic:cNvPicPr>
                                        <a:picLocks noChangeArrowheads="1" noChangeAspect="1"/>
                                      </pic:cNvPicPr>
                                    </pic:nvPicPr>
                                    <pic:blipFill>
                                      <a:blip r:embed="rId35"/>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after"/>
                      <w:p>
                        <w:pPr>
                          <w:pStyle w:val="Compact"/>
                          <w:jc w:val="center"/>
                          <w:jc w:val="left"/>
                        </w:pPr>
                        <w:r>
                          <w:drawing>
                            <wp:inline>
                              <wp:extent cx="2971800" cy="2333598"/>
                              <wp:effectExtent b="0" l="0" r="0" t="0"/>
                              <wp:docPr descr="" title="" id="40" name="Picture"/>
                              <a:graphic>
                                <a:graphicData uri="http://schemas.openxmlformats.org/drawingml/2006/picture">
                                  <pic:pic>
                                    <pic:nvPicPr>
                                      <pic:cNvPr descr="images/meme2.jpeg" id="41" name="Picture"/>
                                      <pic:cNvPicPr>
                                        <a:picLocks noChangeArrowheads="1" noChangeAspect="1"/>
                                      </pic:cNvPicPr>
                                    </pic:nvPicPr>
                                    <pic:blipFill>
                                      <a:blip r:embed="rId39"/>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42"/>
                    </w:tc>
                  </w:tr>
                </w:tbl>
                <w:p/>
              </w:tc>
            </w:tr>
          </w:tbl>
          <w:p>
            <w:pPr>
              <w:pStyle w:val="BodyText"/>
            </w:pPr>
            <w:pPr>
              <w:spacing w:before="200"/>
              <w:pStyle w:val="ImageCaption"/>
            </w:pPr>
            <w:r>
              <w:t xml:space="preserve">Figure 1: The emotional journey of a data scientist debugging their code</w:t>
            </w:r>
          </w:p>
          <w:bookmarkEnd w:id="43"/>
          <w:p>
            <w:pPr>
              <w:pStyle w:val="BodyText"/>
            </w:pPr>
            <w:r>
              <w:rPr>
                <w:b/>
                <w:bCs/>
              </w:rPr>
              <w:t xml:space="preserve">Key options:</w:t>
            </w:r>
          </w:p>
          <w:p>
            <w:pPr>
              <w:pStyle w:val="Compact"/>
              <w:numPr>
                <w:ilvl w:val="0"/>
                <w:numId w:val="1007"/>
              </w:numPr>
            </w:pPr>
            <w:r>
              <w:rPr>
                <w:rStyle w:val="VerbatimChar"/>
              </w:rPr>
              <w:t xml:space="preserve">layout-ncol=2</w:t>
            </w:r>
            <w:r>
              <w:t xml:space="preserve"> </w:t>
            </w:r>
            <w:r>
              <w:t xml:space="preserve">- Two columns (each 50% width)</w:t>
            </w:r>
          </w:p>
          <w:p>
            <w:pPr>
              <w:pStyle w:val="Compact"/>
              <w:numPr>
                <w:ilvl w:val="0"/>
                <w:numId w:val="1007"/>
              </w:numPr>
            </w:pPr>
            <w:r>
              <w:rPr>
                <w:rStyle w:val="VerbatimChar"/>
              </w:rPr>
              <w:t xml:space="preserve">layout-valign="bottom"</w:t>
            </w:r>
            <w:r>
              <w:t xml:space="preserve"> </w:t>
            </w:r>
            <w:r>
              <w:t xml:space="preserve">- Align by bottom edge</w:t>
            </w:r>
          </w:p>
          <w:p>
            <w:pPr>
              <w:pStyle w:val="Compact"/>
              <w:numPr>
                <w:ilvl w:val="0"/>
                <w:numId w:val="1007"/>
              </w:numPr>
            </w:pPr>
            <w:r>
              <w:rPr>
                <w:rStyle w:val="VerbatimChar"/>
              </w:rPr>
              <w:t xml:space="preserve">width=100%</w:t>
            </w:r>
            <w:r>
              <w:t xml:space="preserve"> </w:t>
            </w:r>
            <w:r>
              <w:t xml:space="preserve">- Fill entire column</w:t>
            </w:r>
          </w:p>
          <w:p>
            <w:pPr>
              <w:pStyle w:val="Compact"/>
              <w:numPr>
                <w:ilvl w:val="0"/>
                <w:numId w:val="1007"/>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08"/>
              </w:numPr>
            </w:pPr>
            <w:r>
              <w:rPr>
                <w:b/>
                <w:bCs/>
              </w:rPr>
              <w:t xml:space="preserve">All outputs:</w:t>
            </w:r>
            <w:r>
              <w:t xml:space="preserve"> </w:t>
            </w:r>
            <w:r>
              <w:t xml:space="preserve">PNG, JPG/JPEG</w:t>
            </w:r>
          </w:p>
          <w:p>
            <w:pPr>
              <w:pStyle w:val="Compact"/>
              <w:numPr>
                <w:ilvl w:val="0"/>
                <w:numId w:val="1008"/>
              </w:numPr>
            </w:pPr>
            <w:r>
              <w:rPr>
                <w:b/>
                <w:bCs/>
              </w:rPr>
              <w:t xml:space="preserve">HTML only:</w:t>
            </w:r>
            <w:r>
              <w:t xml:space="preserve"> </w:t>
            </w:r>
            <w:r>
              <w:t xml:space="preserve">WEBP, SVG, GIF</w:t>
            </w:r>
          </w:p>
          <w:p>
            <w:pPr>
              <w:pStyle w:val="Compact"/>
              <w:numPr>
                <w:ilvl w:val="0"/>
                <w:numId w:val="1008"/>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44">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09"/>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09"/>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09"/>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0"/>
              </w:numPr>
            </w:pPr>
            <w:r>
              <w:t xml:space="preserve">Small plot:</w:t>
            </w:r>
            <w:r>
              <w:t xml:space="preserve"> </w:t>
            </w:r>
            <w:r>
              <w:rPr>
                <w:rStyle w:val="VerbatimChar"/>
              </w:rPr>
              <w:t xml:space="preserve">figsize=(6, 4)</w:t>
            </w:r>
          </w:p>
          <w:p>
            <w:pPr>
              <w:pStyle w:val="Compact"/>
              <w:numPr>
                <w:ilvl w:val="0"/>
                <w:numId w:val="1010"/>
              </w:numPr>
            </w:pPr>
            <w:r>
              <w:t xml:space="preserve">Standard plot:</w:t>
            </w:r>
            <w:r>
              <w:t xml:space="preserve"> </w:t>
            </w:r>
            <w:r>
              <w:rPr>
                <w:rStyle w:val="VerbatimChar"/>
              </w:rPr>
              <w:t xml:space="preserve">figsize=(8, 5)</w:t>
            </w:r>
          </w:p>
          <w:p>
            <w:pPr>
              <w:pStyle w:val="Compact"/>
              <w:numPr>
                <w:ilvl w:val="0"/>
                <w:numId w:val="1010"/>
              </w:numPr>
            </w:pPr>
            <w:r>
              <w:t xml:space="preserve">Large plot:</w:t>
            </w:r>
            <w:r>
              <w:t xml:space="preserve"> </w:t>
            </w:r>
            <w:r>
              <w:rPr>
                <w:rStyle w:val="VerbatimChar"/>
              </w:rPr>
              <w:t xml:space="preserve">figsize=(10, 6)</w:t>
            </w:r>
          </w:p>
          <w:p>
            <w:pPr>
              <w:pStyle w:val="Compact"/>
              <w:numPr>
                <w:ilvl w:val="0"/>
                <w:numId w:val="1010"/>
              </w:numPr>
            </w:pPr>
            <w:r>
              <w:t xml:space="preserve">Wide plot:</w:t>
            </w:r>
            <w:r>
              <w:t xml:space="preserve"> </w:t>
            </w:r>
            <w:r>
              <w:rPr>
                <w:rStyle w:val="VerbatimChar"/>
              </w:rPr>
              <w:t xml:space="preserve">figsize=(10, 4)</w:t>
            </w:r>
          </w:p>
          <w:p>
            <w:pPr>
              <w:pStyle w:val="Compact"/>
              <w:numPr>
                <w:ilvl w:val="0"/>
                <w:numId w:val="1010"/>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Start w:id="50" w:name="introduction"/>
    <w:p>
      <w:pPr>
        <w:pStyle w:val="Heading1"/>
      </w:pPr>
      <w:r>
        <w:t xml:space="preserve">Introduction</w:t>
      </w:r>
    </w:p>
    <w:bookmarkStart w:id="47"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47"/>
    <w:bookmarkStart w:id="48" w:name="research-questions"/>
    <w:p>
      <w:pPr>
        <w:pStyle w:val="Heading2"/>
      </w:pPr>
      <w:r>
        <w:t xml:space="preserve">Research Questions</w:t>
      </w:r>
    </w:p>
    <w:p>
      <w:pPr>
        <w:pStyle w:val="Compact"/>
        <w:numPr>
          <w:ilvl w:val="0"/>
          <w:numId w:val="1011"/>
        </w:numPr>
      </w:pPr>
      <w:r>
        <w:t xml:space="preserve">How does remote work influence employees’ overall productivity?</w:t>
      </w:r>
    </w:p>
    <w:p>
      <w:pPr>
        <w:pStyle w:val="Compact"/>
        <w:numPr>
          <w:ilvl w:val="0"/>
          <w:numId w:val="1011"/>
        </w:numPr>
      </w:pPr>
      <w:r>
        <w:t xml:space="preserve">How does remote working affect employees’ ability to maintain social connections and avoid feelings of isolation?</w:t>
      </w:r>
    </w:p>
    <w:p>
      <w:pPr>
        <w:pStyle w:val="Compact"/>
        <w:numPr>
          <w:ilvl w:val="0"/>
          <w:numId w:val="1011"/>
        </w:numPr>
      </w:pPr>
      <w:r>
        <w:t xml:space="preserve">Has job satisfaction decreased or increased as a result of remote working conditions?</w:t>
      </w:r>
    </w:p>
    <w:p>
      <w:pPr>
        <w:pStyle w:val="Compact"/>
        <w:numPr>
          <w:ilvl w:val="0"/>
          <w:numId w:val="1011"/>
        </w:numPr>
      </w:pPr>
      <w:r>
        <w:t xml:space="preserve">Which factors contribute the most to employees’ overall satisfaction with remote work?</w:t>
      </w:r>
    </w:p>
    <w:bookmarkEnd w:id="48"/>
    <w:bookmarkStart w:id="49"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49"/>
    <w:bookmarkEnd w:id="50"/>
    <w:bookmarkStart w:id="62" w:name="data"/>
    <w:p>
      <w:pPr>
        <w:pStyle w:val="Heading1"/>
      </w:pPr>
      <w:r>
        <w:t xml:space="preserve">Data</w:t>
      </w:r>
    </w:p>
    <w:bookmarkStart w:id="52"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51">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12"/>
        </w:numPr>
      </w:pPr>
      <w:r>
        <w:t xml:space="preserve">be employed NSW residents</w:t>
      </w:r>
    </w:p>
    <w:p>
      <w:pPr>
        <w:numPr>
          <w:ilvl w:val="0"/>
          <w:numId w:val="101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is the 2020 wave of the survey. A second wave was collected in March and April 2021. For the present analysis, only the 2020 dataset is being processed and explored. Once the analysis of this wave is finalized, it will be possible to extend the project by including and comparing the 2021 dataset to identify how remote work patterns evolved over time.</w:t>
      </w:r>
    </w:p>
    <w:bookmarkEnd w:id="52"/>
    <w:bookmarkStart w:id="55"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1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1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1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1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14"/>
              </w:numPr>
            </w:pPr>
            <w:r>
              <w:rPr>
                <w:b/>
                <w:bCs/>
              </w:rPr>
              <w:t xml:space="preserve">File used:</w:t>
            </w:r>
            <w:r>
              <w:t xml:space="preserve"> </w:t>
            </w:r>
            <w:r>
              <w:t xml:space="preserve">2020_rws-updated.csv</w:t>
            </w:r>
          </w:p>
          <w:p>
            <w:pPr>
              <w:numPr>
                <w:ilvl w:val="0"/>
                <w:numId w:val="1014"/>
              </w:numPr>
            </w:pPr>
            <w:r>
              <w:rPr>
                <w:b/>
                <w:bCs/>
              </w:rPr>
              <w:t xml:space="preserve">Format:</w:t>
            </w:r>
            <w:r>
              <w:t xml:space="preserve"> </w:t>
            </w:r>
            <w:r>
              <w:t xml:space="preserve">CSV (comma-separated values)</w:t>
            </w:r>
          </w:p>
          <w:p>
            <w:pPr>
              <w:numPr>
                <w:ilvl w:val="0"/>
                <w:numId w:val="101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14"/>
              </w:numPr>
            </w:pPr>
            <w:r>
              <w:rPr>
                <w:b/>
                <w:bCs/>
              </w:rPr>
              <w:t xml:space="preserve">Memory usage:</w:t>
            </w:r>
            <w:r>
              <w:t xml:space="preserve"> </w:t>
            </w:r>
            <w:r>
              <w:t xml:space="preserve">approximately 7.46 MB</w:t>
            </w:r>
          </w:p>
          <w:p>
            <w:pPr>
              <w:numPr>
                <w:ilvl w:val="0"/>
                <w:numId w:val="1014"/>
              </w:numPr>
            </w:pPr>
            <w:r>
              <w:rPr>
                <w:b/>
                <w:bCs/>
              </w:rPr>
              <w:t xml:space="preserve">Number of observations:</w:t>
            </w:r>
            <w:r>
              <w:t xml:space="preserve"> </w:t>
            </w:r>
            <w:r>
              <w:t xml:space="preserve">1507 respondents (1370 rows after cleaning)</w:t>
            </w:r>
          </w:p>
          <w:p>
            <w:pPr>
              <w:numPr>
                <w:ilvl w:val="0"/>
                <w:numId w:val="1014"/>
              </w:numPr>
            </w:pPr>
            <w:r>
              <w:rPr>
                <w:b/>
                <w:bCs/>
              </w:rPr>
              <w:t xml:space="preserve">Number of variables:</w:t>
            </w:r>
            <w:r>
              <w:t xml:space="preserve"> </w:t>
            </w:r>
            <w:r>
              <w:t xml:space="preserve">73 columns (25 after cleaning)</w:t>
            </w:r>
          </w:p>
          <w:p>
            <w:pPr>
              <w:numPr>
                <w:ilvl w:val="0"/>
                <w:numId w:val="1014"/>
              </w:numPr>
            </w:pPr>
            <w:r>
              <w:rPr>
                <w:b/>
                <w:bCs/>
              </w:rPr>
              <w:t xml:space="preserve">Time period:</w:t>
            </w:r>
            <w:r>
              <w:t xml:space="preserve"> </w:t>
            </w:r>
            <w:r>
              <w:t xml:space="preserve">August and September 2020</w:t>
            </w:r>
          </w:p>
          <w:p>
            <w:pPr>
              <w:numPr>
                <w:ilvl w:val="0"/>
                <w:numId w:val="1014"/>
              </w:numPr>
            </w:pPr>
            <w:r>
              <w:rPr>
                <w:b/>
                <w:bCs/>
              </w:rPr>
              <w:t xml:space="preserve">Geographic coverage:</w:t>
            </w:r>
            <w:r>
              <w:t xml:space="preserve"> </w:t>
            </w:r>
            <w:r>
              <w:t xml:space="preserve">New South Wales, Australia</w:t>
            </w:r>
          </w:p>
          <w:p>
            <w:pPr>
              <w:numPr>
                <w:ilvl w:val="0"/>
                <w:numId w:val="101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55"/>
    <w:bookmarkStart w:id="57"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56"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56"/>
    <w:bookmarkEnd w:id="57"/>
    <w:bookmarkStart w:id="61" w:name="wrangling"/>
    <w:p>
      <w:pPr>
        <w:pStyle w:val="Heading2"/>
      </w:pPr>
      <w:r>
        <w:t xml:space="preserve">Wrangling</w:t>
      </w:r>
    </w:p>
    <w:bookmarkStart w:id="58"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58"/>
    <w:bookmarkStart w:id="59"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15"/>
        </w:numPr>
      </w:pPr>
      <w:r>
        <w:t xml:space="preserve">Most variables contained very few missing values, mainly in attitudinal questions where some respondents simply did not answer.</w:t>
      </w:r>
    </w:p>
    <w:p>
      <w:pPr>
        <w:numPr>
          <w:ilvl w:val="0"/>
          <w:numId w:val="1015"/>
        </w:numPr>
      </w:pPr>
      <w:r>
        <w:t xml:space="preserve">Additional missingness appeared when converting textual inputs (percentages or productivity statements) into numeric formats, entries that could not be parsed were intentionally converted to NaN.</w:t>
      </w:r>
    </w:p>
    <w:p>
      <w:pPr>
        <w:numPr>
          <w:ilvl w:val="0"/>
          <w:numId w:val="101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16"/>
        </w:numPr>
      </w:pPr>
      <w:r>
        <w:t xml:space="preserve">Deletion was applied when missingness or category size was extremely small and analytically useless.</w:t>
      </w:r>
    </w:p>
    <w:p>
      <w:pPr>
        <w:numPr>
          <w:ilvl w:val="0"/>
          <w:numId w:val="1016"/>
        </w:numPr>
      </w:pPr>
      <w:r>
        <w:t xml:space="preserve">Imputation with a neutral value (3 = Neither agree nor disagree) was used for missing Likert-scale answers to preserve observations without creating bias.</w:t>
      </w:r>
    </w:p>
    <w:p>
      <w:pPr>
        <w:numPr>
          <w:ilvl w:val="0"/>
          <w:numId w:val="101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1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1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59"/>
    <w:bookmarkStart w:id="60"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1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19"/>
        </w:numPr>
      </w:pPr>
      <w:r>
        <w:t xml:space="preserve">Domestic_hours_workplace: A single observation of –1 hour is impossible and indicates a recording error.</w:t>
      </w:r>
    </w:p>
    <w:p>
      <w:pPr>
        <w:numPr>
          <w:ilvl w:val="0"/>
          <w:numId w:val="101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20"/>
        </w:numPr>
      </w:pPr>
      <w:r>
        <w:t xml:space="preserve">Commute_hours_remote: Values up to 12 hours on remote days are implausible and likely due to misinterpretation or input mistakes.</w:t>
      </w:r>
    </w:p>
    <w:p>
      <w:pPr>
        <w:numPr>
          <w:ilvl w:val="0"/>
          <w:numId w:val="102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21"/>
        </w:numPr>
      </w:pPr>
      <w:r>
        <w:t xml:space="preserve">Outliers were evaluated using:</w:t>
      </w:r>
    </w:p>
    <w:p>
      <w:pPr>
        <w:numPr>
          <w:ilvl w:val="1"/>
          <w:numId w:val="1022"/>
        </w:numPr>
      </w:pPr>
      <w:r>
        <w:t xml:space="preserve">Visual inspection (histograms from univariate EDA)</w:t>
      </w:r>
    </w:p>
    <w:p>
      <w:pPr>
        <w:numPr>
          <w:ilvl w:val="1"/>
          <w:numId w:val="1022"/>
        </w:numPr>
      </w:pPr>
      <w:r>
        <w:t xml:space="preserve">Summary statistics (min/max, interquartile ranges)</w:t>
      </w:r>
    </w:p>
    <w:p>
      <w:pPr>
        <w:numPr>
          <w:ilvl w:val="1"/>
          <w:numId w:val="1022"/>
        </w:numPr>
      </w:pPr>
      <w:r>
        <w:t xml:space="preserve">Domain knowledge (negative hours, impossible ages)</w:t>
      </w:r>
    </w:p>
    <w:p>
      <w:pPr>
        <w:numPr>
          <w:ilvl w:val="0"/>
          <w:numId w:val="1021"/>
        </w:numPr>
      </w:pPr>
      <w:r>
        <w:t xml:space="preserve">Following best practices</w:t>
      </w:r>
    </w:p>
    <w:p>
      <w:pPr>
        <w:numPr>
          <w:ilvl w:val="1"/>
          <w:numId w:val="1023"/>
        </w:numPr>
      </w:pPr>
      <w:r>
        <w:t xml:space="preserve">Impossible values (age = 120, domestic hours = –1) will be removed before modelling.</w:t>
      </w:r>
    </w:p>
    <w:p>
      <w:pPr>
        <w:numPr>
          <w:ilvl w:val="1"/>
          <w:numId w:val="1023"/>
        </w:numPr>
      </w:pPr>
      <w:r>
        <w:t xml:space="preserve">Extreme but plausible behaviours (very long workdays) are kept unless they later bias model results.</w:t>
      </w:r>
    </w:p>
    <w:p>
      <w:pPr>
        <w:numPr>
          <w:ilvl w:val="1"/>
          <w:numId w:val="102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60"/>
    <w:bookmarkEnd w:id="61"/>
    <w:bookmarkEnd w:id="62"/>
    <w:bookmarkStart w:id="76" w:name="eda"/>
    <w:p>
      <w:pPr>
        <w:pStyle w:val="Heading1"/>
      </w:pPr>
      <w:r>
        <w:t xml:space="preserve">EDA</w:t>
      </w:r>
    </w:p>
    <w:bookmarkStart w:id="63"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2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2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2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27"/>
        </w:numPr>
      </w:pPr>
      <w:r>
        <w:t xml:space="preserve">Productivity remote vs workplace: we can see that for most of them productivity is either equivalent, or they even gained in productivity (46% gained between 20 to 50% of productivity).</w:t>
      </w:r>
    </w:p>
    <w:bookmarkEnd w:id="63"/>
    <w:bookmarkStart w:id="67"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BodyText"/>
      </w:pPr>
      <w:r>
        <w:drawing>
          <wp:inline>
            <wp:extent cx="5334000" cy="2996897"/>
            <wp:effectExtent b="0" l="0" r="0" t="0"/>
            <wp:docPr descr="" title="" id="65" name="Picture"/>
            <a:graphic>
              <a:graphicData uri="http://schemas.openxmlformats.org/drawingml/2006/picture">
                <pic:pic>
                  <pic:nvPicPr>
                    <pic:cNvPr descr="report_files/figure-docx/cell-18-output-1.png" id="66" name="Picture"/>
                    <pic:cNvPicPr>
                      <a:picLocks noChangeArrowheads="1" noChangeAspect="1"/>
                    </pic:cNvPicPr>
                  </pic:nvPicPr>
                  <pic:blipFill>
                    <a:blip r:embed="rId64"/>
                    <a:stretch>
                      <a:fillRect/>
                    </a:stretch>
                  </pic:blipFill>
                  <pic:spPr bwMode="auto">
                    <a:xfrm>
                      <a:off x="0" y="0"/>
                      <a:ext cx="5334000" cy="2996897"/>
                    </a:xfrm>
                    <a:prstGeom prst="rect">
                      <a:avLst/>
                    </a:prstGeom>
                    <a:noFill/>
                    <a:ln w="9525">
                      <a:noFill/>
                      <a:headEnd/>
                      <a:tailEnd/>
                    </a:ln>
                  </pic:spPr>
                </pic:pic>
              </a:graphicData>
            </a:graphic>
          </wp:inline>
        </w:drawing>
      </w:r>
    </w:p>
    <w:p>
      <w:pPr>
        <w:pStyle w:val="BodyText"/>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bookmarkEnd w:id="67"/>
    <w:bookmarkStart w:id="70"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r>
        <w:rPr>
          <w:b/>
          <w:bCs/>
        </w:rPr>
        <w:t xml:space="preserve">?@fig-performance-dist</w:t>
      </w:r>
      <w:r>
        <w:t xml:space="preserve"> </w:t>
      </w:r>
      <w:r>
        <w:t xml:space="preserve">revealed that performance scores follow an approximately normal distribution with a mean of 0.90. The box plot (</w:t>
      </w:r>
      <w:r>
        <w:rPr>
          <w:b/>
          <w:bCs/>
        </w:rPr>
        <w:t xml:space="preserve">?@fig-performance-box</w:t>
      </w:r>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28"/>
              </w:numPr>
            </w:pPr>
            <w:r>
              <w:rPr>
                <w:rStyle w:val="VerbatimChar"/>
              </w:rPr>
              <w:t xml:space="preserve">@fig-performance-dist</w:t>
            </w:r>
            <w:r>
              <w:t xml:space="preserve"> </w:t>
            </w:r>
            <w:r>
              <w:t xml:space="preserve">→ See</w:t>
            </w:r>
            <w:r>
              <w:t xml:space="preserve"> </w:t>
            </w:r>
            <w:r>
              <w:rPr>
                <w:b/>
                <w:bCs/>
              </w:rPr>
              <w:t xml:space="preserve">?@fig-performance-dist</w:t>
            </w:r>
            <w:r>
              <w:t xml:space="preserve"> </w:t>
            </w:r>
            <w:r>
              <w:t xml:space="preserve">for details</w:t>
            </w:r>
          </w:p>
          <w:p>
            <w:pPr>
              <w:pStyle w:val="Compact"/>
              <w:numPr>
                <w:ilvl w:val="0"/>
                <w:numId w:val="1028"/>
              </w:numPr>
            </w:pPr>
            <w:r>
              <w:rPr>
                <w:rStyle w:val="VerbatimChar"/>
              </w:rPr>
              <w:t xml:space="preserve">@fig-correlation-matrix</w:t>
            </w:r>
            <w:r>
              <w:t xml:space="preserve"> </w:t>
            </w:r>
            <w:r>
              <w:t xml:space="preserve">→ As shown in</w:t>
            </w:r>
            <w:r>
              <w:t xml:space="preserve"> </w:t>
            </w:r>
            <w:r>
              <w:rPr>
                <w:b/>
                <w:bCs/>
              </w:rPr>
              <w:t xml:space="preserve">?@fig-correlation-matrix</w:t>
            </w:r>
          </w:p>
          <w:p>
            <w:pPr>
              <w:pStyle w:val="Compact"/>
              <w:numPr>
                <w:ilvl w:val="0"/>
                <w:numId w:val="1028"/>
              </w:numPr>
            </w:pPr>
            <w:r>
              <w:rPr>
                <w:rStyle w:val="VerbatimChar"/>
              </w:rPr>
              <w:t xml:space="preserve">@tbl-anova-test</w:t>
            </w:r>
            <w:r>
              <w:t xml:space="preserve"> </w:t>
            </w:r>
            <w:r>
              <w:t xml:space="preserve">→ The ANOVA results in</w:t>
            </w:r>
            <w:r>
              <w:t xml:space="preserve"> </w:t>
            </w:r>
            <w:r>
              <w:rPr>
                <w:b/>
                <w:bCs/>
              </w:rPr>
              <w:t xml:space="preserve">?@tbl-anova-test</w:t>
            </w:r>
          </w:p>
          <w:p>
            <w:pPr>
              <w:pStyle w:val="FirstParagraph"/>
            </w:pPr>
            <w:r>
              <w:rPr>
                <w:b/>
                <w:bCs/>
              </w:rPr>
              <w:t xml:space="preserve">Why reference figures?</w:t>
            </w:r>
          </w:p>
          <w:p>
            <w:pPr>
              <w:pStyle w:val="Compact"/>
              <w:numPr>
                <w:ilvl w:val="0"/>
                <w:numId w:val="1029"/>
              </w:numPr>
            </w:pPr>
            <w:r>
              <w:t xml:space="preserve">Automatic numbering (updates if you reorder)</w:t>
            </w:r>
          </w:p>
          <w:p>
            <w:pPr>
              <w:pStyle w:val="Compact"/>
              <w:numPr>
                <w:ilvl w:val="0"/>
                <w:numId w:val="1029"/>
              </w:numPr>
            </w:pPr>
            <w:r>
              <w:t xml:space="preserve">Clickable links in HTML output</w:t>
            </w:r>
          </w:p>
          <w:p>
            <w:pPr>
              <w:pStyle w:val="Compact"/>
              <w:numPr>
                <w:ilvl w:val="0"/>
                <w:numId w:val="1029"/>
              </w:numPr>
            </w:pPr>
            <w:r>
              <w:t xml:space="preserve">Professional academic writing standard</w:t>
            </w:r>
          </w:p>
          <w:p>
            <w:pPr>
              <w:pStyle w:val="Compact"/>
              <w:numPr>
                <w:ilvl w:val="0"/>
                <w:numId w:val="1029"/>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r>
              <w:rPr>
                <w:b/>
                <w:bCs/>
              </w:rPr>
              <w:t xml:space="preserve">?@fig-performance-dist</w:t>
            </w:r>
            <w:r>
              <w:t xml:space="preserve"> </w:t>
            </w:r>
            <w:r>
              <w:t xml:space="preserve">indicates…”</w:t>
            </w:r>
          </w:p>
          <w:p>
            <w:pPr>
              <w:pStyle w:val="BodyText"/>
            </w:pPr>
            <w:pPr>
              <w:spacing w:after="16"/>
            </w:pPr>
            <w:r>
              <w:t xml:space="preserve">“As seen in</w:t>
            </w:r>
            <w:r>
              <w:t xml:space="preserve"> </w:t>
            </w:r>
            <w:r>
              <w:rPr>
                <w:b/>
                <w:bCs/>
              </w:rPr>
              <w:t xml:space="preserve">?@fig-correlation-matrix</w:t>
            </w:r>
            <w:r>
              <w:t xml:space="preserve">, there is a strong positive correlation…”</w:t>
            </w:r>
          </w:p>
          <w:p/>
        </w:tc>
      </w:tr>
    </w:tbl>
    <w:p>
      <w:pPr>
        <w:pStyle w:val="BodyText"/>
      </w:pPr>
      <w:r>
        <w:t xml:space="preserve">Now let’s examine how performance varies across different instructors.</w:t>
      </w:r>
    </w:p>
    <w:bookmarkEnd w:id="70"/>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74" w:name="fig-performance-by-instructor"/>
          <w:p>
            <w:pPr>
              <w:pStyle w:val="Compact"/>
              <w:jc w:val="center"/>
            </w:pPr>
            <w:r>
              <w:drawing>
                <wp:inline>
                  <wp:extent cx="5334000" cy="3395844"/>
                  <wp:effectExtent b="0" l="0" r="0" t="0"/>
                  <wp:docPr descr="" title="" id="72" name="Picture"/>
                  <a:graphic>
                    <a:graphicData uri="http://schemas.openxmlformats.org/drawingml/2006/picture">
                      <pic:pic>
                        <pic:nvPicPr>
                          <pic:cNvPr descr="report_files/figure-docx/fig-performance-by-instructor-output-1.png" id="73" name="Picture"/>
                          <pic:cNvPicPr>
                            <a:picLocks noChangeArrowheads="1" noChangeAspect="1"/>
                          </pic:cNvPicPr>
                        </pic:nvPicPr>
                        <pic:blipFill>
                          <a:blip r:embed="rId71"/>
                          <a:stretch>
                            <a:fillRect/>
                          </a:stretch>
                        </pic:blipFill>
                        <pic:spPr bwMode="auto">
                          <a:xfrm>
                            <a:off x="0" y="0"/>
                            <a:ext cx="5334000" cy="3395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Performance scores grouped by instructor showing variation across instructors</w:t>
            </w:r>
          </w:p>
          <w:bookmarkEnd w:id="74"/>
        </w:tc>
      </w:tr>
    </w:tbl>
    <w:p>
      <w:pPr>
        <w:pStyle w:val="Heading2"/>
      </w:pPr>
      <w:r>
        <w:t xml:space="preserve">Statistical Test</w:t>
      </w:r>
    </w:p>
    <w:p>
      <w:pPr>
        <w:pStyle w:val="Heading2"/>
      </w:pPr>
      <w:r>
        <w:t xml:space="preserve">Scatter Plot</w:t>
      </w:r>
    </w:p>
    <w:bookmarkStart w:id="75" w:name="key-findings"/>
    <w:p>
      <w:pPr>
        <w:pStyle w:val="Heading2"/>
      </w:pPr>
      <w:r>
        <w:t xml:space="preserve">Key Findings</w:t>
      </w:r>
    </w:p>
    <w:bookmarkEnd w:id="75"/>
    <w:bookmarkEnd w:id="76"/>
    <w:bookmarkStart w:id="82"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30"/>
              </w:numPr>
            </w:pPr>
            <w:r>
              <w:t xml:space="preserve">Apply statistical models (linear regression, logistic regression, etc.)</w:t>
            </w:r>
          </w:p>
          <w:p>
            <w:pPr>
              <w:pStyle w:val="Compact"/>
              <w:numPr>
                <w:ilvl w:val="0"/>
                <w:numId w:val="1030"/>
              </w:numPr>
            </w:pPr>
            <w:r>
              <w:t xml:space="preserve">Perform hypothesis testing</w:t>
            </w:r>
          </w:p>
          <w:p>
            <w:pPr>
              <w:pStyle w:val="Compact"/>
              <w:numPr>
                <w:ilvl w:val="0"/>
                <w:numId w:val="1030"/>
              </w:numPr>
            </w:pPr>
            <w:r>
              <w:t xml:space="preserve">Use machine learning algorithms</w:t>
            </w:r>
          </w:p>
          <w:p>
            <w:pPr>
              <w:pStyle w:val="Compact"/>
              <w:numPr>
                <w:ilvl w:val="0"/>
                <w:numId w:val="1030"/>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31"/>
        </w:numPr>
      </w:pPr>
      <w:r>
        <w:rPr>
          <w:b/>
          <w:bCs/>
        </w:rPr>
        <w:t xml:space="preserve">Why</w:t>
      </w:r>
      <w:r>
        <w:t xml:space="preserve"> </w:t>
      </w:r>
      <w:r>
        <w:t xml:space="preserve">did you choose this particular method?</w:t>
      </w:r>
    </w:p>
    <w:p>
      <w:pPr>
        <w:pStyle w:val="Compact"/>
        <w:numPr>
          <w:ilvl w:val="0"/>
          <w:numId w:val="1031"/>
        </w:numPr>
      </w:pPr>
      <w:r>
        <w:rPr>
          <w:b/>
          <w:bCs/>
        </w:rPr>
        <w:t xml:space="preserve">What</w:t>
      </w:r>
      <w:r>
        <w:t xml:space="preserve"> </w:t>
      </w:r>
      <w:r>
        <w:t xml:space="preserve">assumptions does it make, and do your data meet them?</w:t>
      </w:r>
    </w:p>
    <w:p>
      <w:pPr>
        <w:pStyle w:val="Compact"/>
        <w:numPr>
          <w:ilvl w:val="0"/>
          <w:numId w:val="1031"/>
        </w:numPr>
      </w:pPr>
      <w:r>
        <w:rPr>
          <w:b/>
          <w:bCs/>
        </w:rPr>
        <w:t xml:space="preserve">How</w:t>
      </w:r>
      <w:r>
        <w:t xml:space="preserve"> </w:t>
      </w:r>
      <w:r>
        <w:t xml:space="preserve">does this method help answer your research questions?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82"/>
    <w:bookmarkStart w:id="85"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tip.png" id="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32"/>
              </w:numPr>
            </w:pPr>
            <w:r>
              <w:rPr>
                <w:b/>
                <w:bCs/>
              </w:rPr>
              <w:t xml:space="preserve">States the finding</w:t>
            </w:r>
            <w:r>
              <w:t xml:space="preserve"> </w:t>
            </w:r>
            <w:r>
              <w:t xml:space="preserve">clearly (reference tables/figures)</w:t>
            </w:r>
          </w:p>
          <w:p>
            <w:pPr>
              <w:pStyle w:val="Compact"/>
              <w:numPr>
                <w:ilvl w:val="0"/>
                <w:numId w:val="1032"/>
              </w:numPr>
            </w:pPr>
            <w:r>
              <w:rPr>
                <w:b/>
                <w:bCs/>
              </w:rPr>
              <w:t xml:space="preserve">Interprets the result</w:t>
            </w:r>
            <w:r>
              <w:t xml:space="preserve"> </w:t>
            </w:r>
            <w:r>
              <w:t xml:space="preserve">(what does it mean?)</w:t>
            </w:r>
          </w:p>
          <w:p>
            <w:pPr>
              <w:pStyle w:val="Compact"/>
              <w:numPr>
                <w:ilvl w:val="0"/>
                <w:numId w:val="1032"/>
              </w:numPr>
            </w:pPr>
            <w:r>
              <w:rPr>
                <w:b/>
                <w:bCs/>
              </w:rPr>
              <w:t xml:space="preserve">Connects to research questions</w:t>
            </w:r>
            <w:r>
              <w:t xml:space="preserve"> </w:t>
            </w:r>
            <w:r>
              <w:t xml:space="preserve">(how does it answer your questions?)</w:t>
            </w:r>
          </w:p>
          <w:p>
            <w:pPr>
              <w:pStyle w:val="Compact"/>
              <w:numPr>
                <w:ilvl w:val="0"/>
                <w:numId w:val="1032"/>
              </w:numPr>
            </w:pPr>
            <w:r>
              <w:rPr>
                <w:b/>
                <w:bCs/>
              </w:rPr>
              <w:t xml:space="preserve">Relates to domain knowledge</w:t>
            </w:r>
            <w:r>
              <w:t xml:space="preserve"> </w:t>
            </w:r>
            <w:r>
              <w:t xml:space="preserve">(does it align with theory or prior research?)</w:t>
            </w:r>
          </w:p>
          <w:p>
            <w:pPr>
              <w:pStyle w:val="Compact"/>
              <w:numPr>
                <w:ilvl w:val="0"/>
                <w:numId w:val="1032"/>
              </w:numPr>
            </w:pPr>
            <w:r>
              <w:rPr>
                <w:b/>
                <w:bCs/>
              </w:rPr>
              <w:t xml:space="preserve">Acknowledges limitations</w:t>
            </w:r>
            <w:r>
              <w:t xml:space="preserve"> </w:t>
            </w:r>
            <w:r>
              <w:t xml:space="preserve">(what are the caveats?)</w:t>
            </w:r>
          </w:p>
          <w:p>
            <w:pPr>
              <w:pStyle w:val="Compact"/>
              <w:numPr>
                <w:ilvl w:val="0"/>
                <w:numId w:val="1032"/>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85"/>
    <w:bookmarkStart w:id="98"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tip.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33"/>
              </w:numPr>
            </w:pPr>
            <w:r>
              <w:rPr>
                <w:b/>
                <w:bCs/>
              </w:rPr>
              <w:t xml:space="preserve">Summary</w:t>
            </w:r>
            <w:r>
              <w:t xml:space="preserve">: Recap your project goals, approach, and main findings</w:t>
            </w:r>
          </w:p>
          <w:p>
            <w:pPr>
              <w:pStyle w:val="Compact"/>
              <w:numPr>
                <w:ilvl w:val="0"/>
                <w:numId w:val="1033"/>
              </w:numPr>
            </w:pPr>
            <w:r>
              <w:rPr>
                <w:b/>
                <w:bCs/>
              </w:rPr>
              <w:t xml:space="preserve">Limitations</w:t>
            </w:r>
            <w:r>
              <w:t xml:space="preserve">: Honestly discuss constraints and potential weaknesses</w:t>
            </w:r>
          </w:p>
          <w:p>
            <w:pPr>
              <w:pStyle w:val="Compact"/>
              <w:numPr>
                <w:ilvl w:val="0"/>
                <w:numId w:val="1033"/>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91"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34"/>
        </w:numPr>
      </w:pPr>
      <w:r>
        <w:t xml:space="preserve">Restate your research questions briefly</w:t>
      </w:r>
    </w:p>
    <w:p>
      <w:pPr>
        <w:pStyle w:val="Compact"/>
        <w:numPr>
          <w:ilvl w:val="0"/>
          <w:numId w:val="1034"/>
        </w:numPr>
      </w:pPr>
      <w:r>
        <w:t xml:space="preserve">Summarize your approach (data, methods)</w:t>
      </w:r>
    </w:p>
    <w:p>
      <w:pPr>
        <w:pStyle w:val="Compact"/>
        <w:numPr>
          <w:ilvl w:val="0"/>
          <w:numId w:val="1034"/>
        </w:numPr>
      </w:pPr>
      <w:r>
        <w:t xml:space="preserve">Highlight 3-5 main findings with their implications</w:t>
      </w:r>
    </w:p>
    <w:p>
      <w:pPr>
        <w:pStyle w:val="Compact"/>
        <w:numPr>
          <w:ilvl w:val="0"/>
          <w:numId w:val="1034"/>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warning.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91"/>
    <w:bookmarkStart w:id="94"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35"/>
        </w:numPr>
      </w:pPr>
      <w:r>
        <w:rPr>
          <w:b/>
          <w:bCs/>
        </w:rPr>
        <w:t xml:space="preserve">Data limitations</w:t>
      </w:r>
      <w:r>
        <w:t xml:space="preserve">: Sample size, missing data, measurement issues, lack of certain variables</w:t>
      </w:r>
    </w:p>
    <w:p>
      <w:pPr>
        <w:pStyle w:val="Compact"/>
        <w:numPr>
          <w:ilvl w:val="0"/>
          <w:numId w:val="1035"/>
        </w:numPr>
      </w:pPr>
      <w:r>
        <w:rPr>
          <w:b/>
          <w:bCs/>
        </w:rPr>
        <w:t xml:space="preserve">Methodological limitations</w:t>
      </w:r>
      <w:r>
        <w:t xml:space="preserve">: Simplifying assumptions, choice of methods, inability to establish causation</w:t>
      </w:r>
    </w:p>
    <w:p>
      <w:pPr>
        <w:pStyle w:val="Compact"/>
        <w:numPr>
          <w:ilvl w:val="0"/>
          <w:numId w:val="1035"/>
        </w:numPr>
      </w:pPr>
      <w:r>
        <w:rPr>
          <w:b/>
          <w:bCs/>
        </w:rPr>
        <w:t xml:space="preserve">Scope limitations</w:t>
      </w:r>
      <w:r>
        <w:t xml:space="preserve">: Time constraints, focus on specific aspects only</w:t>
      </w:r>
    </w:p>
    <w:p>
      <w:pPr>
        <w:pStyle w:val="Compact"/>
        <w:numPr>
          <w:ilvl w:val="0"/>
          <w:numId w:val="1035"/>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important.png" id="93"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36"/>
              </w:numPr>
            </w:pPr>
            <w:r>
              <w:rPr>
                <w:b/>
                <w:bCs/>
              </w:rPr>
              <w:t xml:space="preserve">Critical thinking</w:t>
            </w:r>
            <w:r>
              <w:t xml:space="preserve">: You understand the boundaries of your analysis</w:t>
            </w:r>
          </w:p>
          <w:p>
            <w:pPr>
              <w:pStyle w:val="Compact"/>
              <w:numPr>
                <w:ilvl w:val="0"/>
                <w:numId w:val="1036"/>
              </w:numPr>
            </w:pPr>
            <w:r>
              <w:rPr>
                <w:b/>
                <w:bCs/>
              </w:rPr>
              <w:t xml:space="preserve">Scientific integrity</w:t>
            </w:r>
            <w:r>
              <w:t xml:space="preserve">: You’re honest about what your study can and cannot show</w:t>
            </w:r>
          </w:p>
          <w:p>
            <w:pPr>
              <w:pStyle w:val="Compact"/>
              <w:numPr>
                <w:ilvl w:val="0"/>
                <w:numId w:val="1036"/>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94"/>
    <w:bookmarkStart w:id="97"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37"/>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37"/>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37"/>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37"/>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38"/>
        </w:numPr>
      </w:pPr>
      <w:r>
        <w:t xml:space="preserve">❌</w:t>
      </w:r>
      <w:r>
        <w:t xml:space="preserve"> </w:t>
      </w:r>
      <w:r>
        <w:t xml:space="preserve">“Get more data”</w:t>
      </w:r>
    </w:p>
    <w:p>
      <w:pPr>
        <w:pStyle w:val="Compact"/>
        <w:numPr>
          <w:ilvl w:val="0"/>
          <w:numId w:val="1038"/>
        </w:numPr>
      </w:pPr>
      <w:r>
        <w:t xml:space="preserve">❌</w:t>
      </w:r>
      <w:r>
        <w:t xml:space="preserve"> </w:t>
      </w:r>
      <w:r>
        <w:t xml:space="preserve">“Use more variables”</w:t>
      </w:r>
    </w:p>
    <w:p>
      <w:pPr>
        <w:pStyle w:val="Compact"/>
        <w:numPr>
          <w:ilvl w:val="0"/>
          <w:numId w:val="1038"/>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39"/>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40"/>
              </w:numPr>
            </w:pPr>
            <w:r>
              <w:t xml:space="preserve">Circles back to your introduction (research questions)</w:t>
            </w:r>
          </w:p>
          <w:p>
            <w:pPr>
              <w:pStyle w:val="Compact"/>
              <w:numPr>
                <w:ilvl w:val="0"/>
                <w:numId w:val="1040"/>
              </w:numPr>
            </w:pPr>
            <w:r>
              <w:t xml:space="preserve">Synthesizes your findings from EDA and analysis</w:t>
            </w:r>
          </w:p>
          <w:p>
            <w:pPr>
              <w:pStyle w:val="Compact"/>
              <w:numPr>
                <w:ilvl w:val="0"/>
                <w:numId w:val="1040"/>
              </w:numPr>
            </w:pPr>
            <w:r>
              <w:t xml:space="preserve">Demonstrates you’ve thought deeply about your project</w:t>
            </w:r>
          </w:p>
          <w:p>
            <w:pPr>
              <w:pStyle w:val="Compact"/>
              <w:numPr>
                <w:ilvl w:val="0"/>
                <w:numId w:val="1040"/>
              </w:numPr>
            </w:pPr>
            <w:r>
              <w:t xml:space="preserve">Leaves readers with clear takeaways</w:t>
            </w:r>
          </w:p>
          <w:p>
            <w:pPr>
              <w:pStyle w:val="FirstParagraph"/>
            </w:pPr>
            <w:pPr>
              <w:spacing w:after="16"/>
            </w:pPr>
            <w:r>
              <w:rPr>
                <w:b/>
                <w:bCs/>
              </w:rPr>
              <w:t xml:space="preserve">A strong conclusion elevates your entire report!</w:t>
            </w:r>
          </w:p>
          <w:p/>
        </w:tc>
      </w:tr>
    </w:tbl>
    <w:bookmarkEnd w:id="97"/>
    <w:bookmarkEnd w:id="98"/>
    <w:bookmarkStart w:id="103" w:name="references"/>
    <w:p>
      <w:pPr>
        <w:pStyle w:val="Heading1"/>
      </w:pPr>
      <w:r>
        <w:t xml:space="preserve">References</w:t>
      </w:r>
    </w:p>
    <w:p>
      <w:pPr>
        <w:pStyle w:val="FirstParagraph"/>
      </w:pPr>
      <w:r>
        <w:t xml:space="preserve">(</w:t>
      </w:r>
      <w:r>
        <w:rPr>
          <w:b/>
          <w:bCs/>
        </w:rPr>
        <w:t xml:space="preserve">misc?</w:t>
      </w:r>
      <w:r>
        <w:t xml:space="preserve">)</w:t>
      </w:r>
      <w:r>
        <w:t xml:space="preserve">{nsw2020remote,</w:t>
      </w:r>
      <w:r>
        <w:t xml:space="preserve"> </w:t>
      </w:r>
      <w:r>
        <w:t xml:space="preserve">author = {{NSW Government}},</w:t>
      </w:r>
      <w:r>
        <w:t xml:space="preserve"> </w:t>
      </w:r>
      <w:r>
        <w:t xml:space="preserve">title = {Remote Working Survey 2020 Dataset},</w:t>
      </w:r>
      <w:r>
        <w:t xml:space="preserve"> </w:t>
      </w:r>
      <w:r>
        <w:t xml:space="preserve">year = {2020},</w:t>
      </w:r>
      <w:r>
        <w:t xml:space="preserve"> </w:t>
      </w:r>
      <w:r>
        <w:t xml:space="preserve">url = {https://data.nsw.gov.au/data/dataset/nsw-remote-working-survey},</w:t>
      </w:r>
      <w:r>
        <w:t xml:space="preserve"> </w:t>
      </w:r>
      <w:r>
        <w:t xml:space="preserve">}</w:t>
      </w:r>
    </w:p>
    <w:p>
      <w:pPr>
        <w:pStyle w:val="BodyText"/>
      </w:pPr>
      <w:r>
        <w:t xml:space="preserve">(</w:t>
      </w:r>
      <w:r>
        <w:rPr>
          <w:b/>
          <w:bCs/>
        </w:rPr>
        <w:t xml:space="preserve">misc?</w:t>
      </w:r>
      <w:r>
        <w:t xml:space="preserve">)</w:t>
      </w:r>
      <w:r>
        <w:t xml:space="preserve">{pandasDocs,</w:t>
      </w:r>
      <w:r>
        <w:t xml:space="preserve"> </w:t>
      </w:r>
      <w:r>
        <w:t xml:space="preserve">author = {{Pandas Documentation}},</w:t>
      </w:r>
      <w:r>
        <w:t xml:space="preserve"> </w:t>
      </w:r>
      <w:r>
        <w:t xml:space="preserve">title = {Pandas User Guide},</w:t>
      </w:r>
      <w:r>
        <w:t xml:space="preserve"> </w:t>
      </w:r>
      <w:r>
        <w:t xml:space="preserve">year = {n.d.},</w:t>
      </w:r>
      <w:r>
        <w:t xml:space="preserve"> </w:t>
      </w:r>
      <w:r>
        <w:t xml:space="preserve">url = {https://pandas.pydata.org/docs/},</w:t>
      </w:r>
      <w:r>
        <w:t xml:space="preserve"> </w:t>
      </w:r>
      <w:r>
        <w:t xml:space="preserve">}</w:t>
      </w:r>
    </w:p>
    <w:p>
      <w:pPr>
        <w:pStyle w:val="BodyText"/>
      </w:pPr>
      <w:r>
        <w:t xml:space="preserve">(</w:t>
      </w:r>
      <w:r>
        <w:rPr>
          <w:b/>
          <w:bCs/>
        </w:rPr>
        <w:t xml:space="preserve">misc?</w:t>
      </w:r>
      <w:r>
        <w:t xml:space="preserve">)</w:t>
      </w:r>
      <w:r>
        <w:t xml:space="preserve">{seabornDocs,</w:t>
      </w:r>
      <w:r>
        <w:t xml:space="preserve"> </w:t>
      </w:r>
      <w:r>
        <w:t xml:space="preserve">author = {{Seaborn Documentation}},</w:t>
      </w:r>
      <w:r>
        <w:t xml:space="preserve"> </w:t>
      </w:r>
      <w:r>
        <w:t xml:space="preserve">title = {Seaborn: Statistical Data Visualization},</w:t>
      </w:r>
      <w:r>
        <w:t xml:space="preserve"> </w:t>
      </w:r>
      <w:r>
        <w:t xml:space="preserve">year = {n.d.},</w:t>
      </w:r>
      <w:r>
        <w:t xml:space="preserve"> </w:t>
      </w:r>
      <w:r>
        <w:t xml:space="preserve">url = {https://seaborn.pydata.org/},</w:t>
      </w:r>
      <w:r>
        <w:t xml:space="preserve"> </w:t>
      </w:r>
      <w:r>
        <w:t xml:space="preserve">}</w:t>
      </w:r>
    </w:p>
    <w:p>
      <w:pPr>
        <w:pStyle w:val="BodyText"/>
      </w:pPr>
      <w:r>
        <w:t xml:space="preserve">(</w:t>
      </w:r>
      <w:r>
        <w:rPr>
          <w:b/>
          <w:bCs/>
        </w:rPr>
        <w:t xml:space="preserve">misc?</w:t>
      </w:r>
      <w:r>
        <w:t xml:space="preserve">)</w:t>
      </w:r>
      <w:r>
        <w:t xml:space="preserve">{matplotlibDocs,</w:t>
      </w:r>
      <w:r>
        <w:t xml:space="preserve"> </w:t>
      </w:r>
      <w:r>
        <w:t xml:space="preserve">author = {{Matplotlib Documentation}},</w:t>
      </w:r>
      <w:r>
        <w:t xml:space="preserve"> </w:t>
      </w:r>
      <w:r>
        <w:t xml:space="preserve">title = {Matplotlib: Visualization with Python},</w:t>
      </w:r>
      <w:r>
        <w:t xml:space="preserve"> </w:t>
      </w:r>
      <w:r>
        <w:t xml:space="preserve">year = {n.d.},</w:t>
      </w:r>
      <w:r>
        <w:t xml:space="preserve"> </w:t>
      </w:r>
      <w:r>
        <w:t xml:space="preserve">url = {https://matplotlib.org/stable/},</w:t>
      </w:r>
      <w:r>
        <w:t xml:space="preserve"> </w:t>
      </w:r>
      <w:r>
        <w:t xml:space="preserve">}</w:t>
      </w:r>
    </w:p>
    <w:p>
      <w:pPr>
        <w:pStyle w:val="BodyText"/>
      </w:pPr>
      <w:r>
        <w:t xml:space="preserve">(</w:t>
      </w:r>
      <w:r>
        <w:rPr>
          <w:b/>
          <w:bCs/>
        </w:rPr>
        <w:t xml:space="preserve">misc?</w:t>
      </w:r>
      <w:r>
        <w:t xml:space="preserve">)</w:t>
      </w:r>
      <w:r>
        <w:t xml:space="preserve">{quartoDocs,</w:t>
      </w:r>
      <w:r>
        <w:t xml:space="preserve"> </w:t>
      </w:r>
      <w:r>
        <w:t xml:space="preserve">author = {{Quarto Documentation}},</w:t>
      </w:r>
      <w:r>
        <w:t xml:space="preserve"> </w:t>
      </w:r>
      <w:r>
        <w:t xml:space="preserve">title = {Quarto Guide},</w:t>
      </w:r>
      <w:r>
        <w:t xml:space="preserve"> </w:t>
      </w:r>
      <w:r>
        <w:t xml:space="preserve">year = {n.d.},</w:t>
      </w:r>
      <w:r>
        <w:t xml:space="preserve"> </w:t>
      </w:r>
      <w:r>
        <w:t xml:space="preserve">url = {https://quarto.org/},</w:t>
      </w:r>
      <w:r>
        <w:t xml:space="preserve"> </w:t>
      </w:r>
      <w:r>
        <w:t xml:space="preserve">}</w:t>
      </w:r>
    </w:p>
    <w:p>
      <w:pPr>
        <w:pStyle w:val="BodyText"/>
      </w:pPr>
      <w:r>
        <w:t xml:space="preserve">(</w:t>
      </w:r>
      <w:r>
        <w:rPr>
          <w:b/>
          <w:bCs/>
        </w:rPr>
        <w:t xml:space="preserve">misc?</w:t>
      </w:r>
      <w:r>
        <w:t xml:space="preserve">)</w:t>
      </w:r>
      <w:r>
        <w:t xml:space="preserve">{joshi2015likert,</w:t>
      </w:r>
      <w:r>
        <w:t xml:space="preserve"> </w:t>
      </w:r>
      <w:r>
        <w:t xml:space="preserve">author = {Joshi, A. and Kale, S. and Chandel, S. and Pal, D. K.},</w:t>
      </w:r>
      <w:r>
        <w:t xml:space="preserve"> </w:t>
      </w:r>
      <w:r>
        <w:t xml:space="preserve">title = {Likert Scale: What it is &amp; How to Use It},</w:t>
      </w:r>
      <w:r>
        <w:t xml:space="preserve"> </w:t>
      </w:r>
      <w:r>
        <w:t xml:space="preserve">year = {2015},</w:t>
      </w:r>
      <w:r>
        <w:t xml:space="preserve"> </w:t>
      </w:r>
      <w:r>
        <w:t xml:space="preserve">url = {https://www.researchgate.net/publication/281874183_Likert_Scale_What_it_is_and_How_to_Use_It},</w:t>
      </w:r>
      <w:r>
        <w:t xml:space="preserve"> </w:t>
      </w:r>
      <w:r>
        <w:t xml:space="preserve">}</w:t>
      </w:r>
    </w:p>
    <w:p>
      <w:pPr>
        <w:pStyle w:val="BodyText"/>
      </w:pPr>
      <w:r>
        <w:t xml:space="preserve">(</w:t>
      </w:r>
      <w:r>
        <w:rPr>
          <w:b/>
          <w:bCs/>
        </w:rPr>
        <w:t xml:space="preserve">article?</w:t>
      </w:r>
      <w:r>
        <w:t xml:space="preserve">)</w:t>
      </w:r>
      <w:r>
        <w:t xml:space="preserve">{charalampous2022remote,</w:t>
      </w:r>
      <w:r>
        <w:t xml:space="preserve"> </w:t>
      </w:r>
      <w:r>
        <w:t xml:space="preserve">author = {Charalampous, M. and Grant, C. A. and Tramontano, C. and Michailidis, E.},</w:t>
      </w:r>
      <w:r>
        <w:t xml:space="preserve"> </w:t>
      </w:r>
      <w:r>
        <w:t xml:space="preserve">title = {Investigating the Role of Remote Working on Employees’ Performance and Well-Being: An Evidence-Based Systematic Review},</w:t>
      </w:r>
      <w:r>
        <w:t xml:space="preserve"> </w:t>
      </w:r>
      <w:r>
        <w:t xml:space="preserve">journal = {International Journal of Environmental Research and Public Health},</w:t>
      </w:r>
      <w:r>
        <w:t xml:space="preserve"> </w:t>
      </w:r>
      <w:r>
        <w:t xml:space="preserve">volume = {19},</w:t>
      </w:r>
      <w:r>
        <w:t xml:space="preserve"> </w:t>
      </w:r>
      <w:r>
        <w:t xml:space="preserve">number = {19},</w:t>
      </w:r>
      <w:r>
        <w:t xml:space="preserve"> </w:t>
      </w:r>
      <w:r>
        <w:t xml:space="preserve">pages = {12373},</w:t>
      </w:r>
      <w:r>
        <w:t xml:space="preserve"> </w:t>
      </w:r>
      <w:r>
        <w:t xml:space="preserve">year = {2022},</w:t>
      </w:r>
      <w:r>
        <w:t xml:space="preserve"> </w:t>
      </w:r>
      <w:r>
        <w:t xml:space="preserve">url = {https://pmc.ncbi.nlm.nih.gov/articles/PMC9566387/},</w:t>
      </w:r>
      <w:r>
        <w:t xml:space="preserve"> </w:t>
      </w:r>
      <w:r>
        <w:t xml:space="preserve">}</w:t>
      </w:r>
    </w:p>
    <w:p>
      <w:pPr>
        <w:pStyle w:val="BodyText"/>
      </w:pPr>
      <w:r>
        <w:t xml:space="preserve">(</w:t>
      </w:r>
      <w:r>
        <w:rPr>
          <w:b/>
          <w:bCs/>
        </w:rPr>
        <w:t xml:space="preserve">article?</w:t>
      </w:r>
      <w:r>
        <w:t xml:space="preserve">)</w:t>
      </w:r>
      <w:r>
        <w:t xml:space="preserve">{garcia2024wellbeing,</w:t>
      </w:r>
      <w:r>
        <w:t xml:space="preserve"> </w:t>
      </w:r>
      <w:r>
        <w:t xml:space="preserve">author = {García-Sánchez, E. and García-Sánchez, I. M.},</w:t>
      </w:r>
      <w:r>
        <w:t xml:space="preserve"> </w:t>
      </w:r>
      <w:r>
        <w:t xml:space="preserve">title = {Remote workers’ well-being: Are innovative organizations really concerned? A bibliometrics analysis},</w:t>
      </w:r>
      <w:r>
        <w:t xml:space="preserve"> </w:t>
      </w:r>
      <w:r>
        <w:t xml:space="preserve">journal = {Journal of Innovation &amp; Knowledge},</w:t>
      </w:r>
      <w:r>
        <w:t xml:space="preserve"> </w:t>
      </w:r>
      <w:r>
        <w:t xml:space="preserve">volume = {9},</w:t>
      </w:r>
      <w:r>
        <w:t xml:space="preserve"> </w:t>
      </w:r>
      <w:r>
        <w:t xml:space="preserve">number = {4},</w:t>
      </w:r>
      <w:r>
        <w:t xml:space="preserve"> </w:t>
      </w:r>
      <w:r>
        <w:t xml:space="preserve">pages = {100313},</w:t>
      </w:r>
      <w:r>
        <w:t xml:space="preserve"> </w:t>
      </w:r>
      <w:r>
        <w:t xml:space="preserve">year = {2024},</w:t>
      </w:r>
      <w:r>
        <w:t xml:space="preserve"> </w:t>
      </w:r>
      <w:r>
        <w:t xml:space="preserve">url = {https://www.sciencedirect.com/science/article/pii/S2444569X24001343},</w:t>
      </w:r>
      <w:r>
        <w:t xml:space="preserve"> </w:t>
      </w:r>
      <w:r>
        <w:t xml:space="preserve">}</w:t>
      </w:r>
    </w:p>
    <w:p>
      <w:pPr>
        <w:pStyle w:val="BodyText"/>
      </w:pPr>
      <w:r>
        <w:t xml:space="preserve">(</w:t>
      </w:r>
      <w:r>
        <w:rPr>
          <w:b/>
          <w:bCs/>
        </w:rPr>
        <w:t xml:space="preserve">misc?</w:t>
      </w:r>
      <w:r>
        <w:t xml:space="preserve">)</w:t>
      </w:r>
      <w:r>
        <w:t xml:space="preserve">{bloom2013wfh,</w:t>
      </w:r>
      <w:r>
        <w:t xml:space="preserve"> </w:t>
      </w:r>
      <w:r>
        <w:t xml:space="preserve">author = {Bloom, N. and Liang, J. and Roberts, J. and Ying, Z. J.},</w:t>
      </w:r>
      <w:r>
        <w:t xml:space="preserve"> </w:t>
      </w:r>
      <w:r>
        <w:t xml:space="preserve">title = {Does Working from Home Work? Evidence from a Chinese Experiment},</w:t>
      </w:r>
      <w:r>
        <w:t xml:space="preserve"> </w:t>
      </w:r>
      <w:r>
        <w:t xml:space="preserve">year = {2013},</w:t>
      </w:r>
      <w:r>
        <w:t xml:space="preserve"> </w:t>
      </w:r>
      <w:r>
        <w:t xml:space="preserve">url = {https://www.nber.org/papers/w18871},</w:t>
      </w:r>
      <w:r>
        <w:t xml:space="preserve"> </w:t>
      </w:r>
      <w:r>
        <w:t xml:space="preserve">}</w:t>
      </w:r>
    </w:p>
    <w:bookmarkStart w:id="102" w:name="what-goes-in-appendices"/>
    <w:p>
      <w:pPr>
        <w:pStyle w:val="Heading2"/>
      </w:pPr>
      <w:r>
        <w:t xml:space="preserve">What Goes in Appendices?</w:t>
      </w:r>
    </w:p>
    <w:p>
      <w:pPr>
        <w:pStyle w:val="FirstParagraph"/>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41"/>
        </w:numPr>
      </w:pPr>
      <w:r>
        <w:rPr>
          <w:b/>
          <w:bCs/>
        </w:rPr>
        <w:t xml:space="preserve">Additional plots and visualizations</w:t>
      </w:r>
      <w:r>
        <w:t xml:space="preserve"> </w:t>
      </w:r>
      <w:r>
        <w:t xml:space="preserve">that provide extra detail but don’t fit the main narrative flow</w:t>
      </w:r>
    </w:p>
    <w:p>
      <w:pPr>
        <w:pStyle w:val="Compact"/>
        <w:numPr>
          <w:ilvl w:val="0"/>
          <w:numId w:val="1041"/>
        </w:numPr>
      </w:pPr>
      <w:r>
        <w:rPr>
          <w:b/>
          <w:bCs/>
        </w:rPr>
        <w:t xml:space="preserve">Alternative visualizations</w:t>
      </w:r>
      <w:r>
        <w:t xml:space="preserve"> </w:t>
      </w:r>
      <w:r>
        <w:t xml:space="preserve">of the same data (e.g., different plot types)</w:t>
      </w:r>
    </w:p>
    <w:p>
      <w:pPr>
        <w:pStyle w:val="Compact"/>
        <w:numPr>
          <w:ilvl w:val="0"/>
          <w:numId w:val="1041"/>
        </w:numPr>
      </w:pPr>
      <w:r>
        <w:rPr>
          <w:b/>
          <w:bCs/>
        </w:rPr>
        <w:t xml:space="preserve">Exploratory plots</w:t>
      </w:r>
      <w:r>
        <w:t xml:space="preserve"> </w:t>
      </w:r>
      <w:r>
        <w:t xml:space="preserve">that informed your analysis but aren’t central to your findings</w:t>
      </w:r>
    </w:p>
    <w:p>
      <w:pPr>
        <w:pStyle w:val="Compact"/>
        <w:numPr>
          <w:ilvl w:val="0"/>
          <w:numId w:val="1041"/>
        </w:numPr>
      </w:pPr>
      <w:r>
        <w:rPr>
          <w:b/>
          <w:bCs/>
        </w:rPr>
        <w:t xml:space="preserve">Full code listings</w:t>
      </w:r>
      <w:r>
        <w:t xml:space="preserve"> </w:t>
      </w:r>
      <w:r>
        <w:t xml:space="preserve">for complex analyses</w:t>
      </w:r>
    </w:p>
    <w:p>
      <w:pPr>
        <w:pStyle w:val="Compact"/>
        <w:numPr>
          <w:ilvl w:val="0"/>
          <w:numId w:val="1041"/>
        </w:numPr>
      </w:pPr>
      <w:r>
        <w:rPr>
          <w:b/>
          <w:bCs/>
        </w:rPr>
        <w:t xml:space="preserve">Extended statistical tables</w:t>
      </w:r>
      <w:r>
        <w:t xml:space="preserve"> </w:t>
      </w:r>
      <w:r>
        <w:t xml:space="preserve">with detailed results</w:t>
      </w:r>
    </w:p>
    <w:p>
      <w:pPr>
        <w:pStyle w:val="Compact"/>
        <w:numPr>
          <w:ilvl w:val="0"/>
          <w:numId w:val="1041"/>
        </w:numPr>
      </w:pPr>
      <w:r>
        <w:rPr>
          <w:b/>
          <w:bCs/>
        </w:rPr>
        <w:t xml:space="preserve">Technical details</w:t>
      </w:r>
      <w:r>
        <w:t xml:space="preserve"> </w:t>
      </w:r>
      <w:r>
        <w:t xml:space="preserve">about data processing steps</w:t>
      </w:r>
    </w:p>
    <w:p>
      <w:pPr>
        <w:pStyle w:val="Compact"/>
        <w:numPr>
          <w:ilvl w:val="0"/>
          <w:numId w:val="1041"/>
        </w:numPr>
      </w:pPr>
      <w:r>
        <w:rPr>
          <w:b/>
          <w:bCs/>
        </w:rPr>
        <w:t xml:space="preserve">Sensitivity analyses</w:t>
      </w:r>
      <w:r>
        <w:t xml:space="preserve"> </w:t>
      </w:r>
      <w:r>
        <w:t xml:space="preserve">or robustness checks</w:t>
      </w:r>
    </w:p>
    <w:p>
      <w:pPr>
        <w:pStyle w:val="Compact"/>
        <w:numPr>
          <w:ilvl w:val="0"/>
          <w:numId w:val="1041"/>
        </w:numPr>
      </w:pPr>
      <w:r>
        <w:rPr>
          <w:b/>
          <w:bCs/>
        </w:rPr>
        <w:t xml:space="preserve">Data dictionaries</w:t>
      </w:r>
      <w:r>
        <w:t xml:space="preserve"> </w:t>
      </w:r>
      <w:r>
        <w:t xml:space="preserve">with detailed variable descriptions</w:t>
      </w:r>
    </w:p>
    <w:bookmarkStart w:id="99" w:name="sec-appendix-plots"/>
    <w:p>
      <w:pPr>
        <w:pStyle w:val="Heading3"/>
      </w:pPr>
      <w:r>
        <w:t xml:space="preserve">Appendix A: Additional Exploratory Plots</w:t>
      </w:r>
    </w:p>
    <w:bookmarkEnd w:id="99"/>
    <w:bookmarkStart w:id="100" w:name="sec-appendix-code"/>
    <w:p>
      <w:pPr>
        <w:pStyle w:val="Heading3"/>
      </w:pPr>
      <w:r>
        <w:t xml:space="preserve">Appendix B: Complete Code Listings</w:t>
      </w:r>
    </w:p>
    <w:bookmarkEnd w:id="100"/>
    <w:bookmarkStart w:id="101" w:name="sec-appendix-tables"/>
    <w:p>
      <w:pPr>
        <w:pStyle w:val="Heading3"/>
      </w:pPr>
      <w:r>
        <w:t xml:space="preserve">Appendix C: Supplementary Tables</w:t>
      </w:r>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88" Target="media/rId88.pn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_rels/footnotes.xml.rels><?xml version="1.0" encoding="UTF-8"?><Relationships xmlns="http://schemas.openxmlformats.org/package/2006/relationships"><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2025-12-12T15:11:09Z</dcterms:created>
  <dcterms:modified xsi:type="dcterms:W3CDTF">2025-12-12T15:11:09Z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