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5"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 - There is a correct balance between genders: 44% of the sample is composed by women. -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 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Start w:id="42" w:name="findings-and-discussion"/>
    <w:p>
      <w:pPr>
        <w:pStyle w:val="Heading2"/>
      </w:pPr>
      <w:r>
        <w:t xml:space="preserve">Findings and Discussion</w:t>
      </w:r>
    </w:p>
    <w:p>
      <w:pPr>
        <w:pStyle w:val="FirstParagraph"/>
      </w:pPr>
      <w:r>
        <w:rPr>
          <w:b/>
          <w:bCs/>
        </w:rPr>
        <w:t xml:space="preserve">Perceived productivity (Productivity_remote_vs_workplace)</w:t>
      </w:r>
    </w:p>
    <w:p>
      <w:pPr>
        <w:pStyle w:val="BodyText"/>
      </w:pPr>
      <w:r>
        <w:t xml:space="preserve">The distribution remains wide but not excessively dispersed. Both positive and negative self-reported productivity changes appear, with no clear dominant direction.</w:t>
      </w:r>
    </w:p>
    <w:p>
      <w:pPr>
        <w:pStyle w:val="BodyText"/>
      </w:pPr>
      <w:r>
        <w:rPr>
          <w:b/>
          <w:bCs/>
        </w:rPr>
        <w:t xml:space="preserve">Remote work share (Remote_pct_*)</w:t>
      </w:r>
    </w:p>
    <w:p>
      <w:pPr>
        <w:pStyle w:val="BodyText"/>
      </w:pPr>
      <w:r>
        <w:t xml:space="preserve">Clear multimodal distribution:</w:t>
      </w:r>
      <w:r>
        <w:t xml:space="preserve"> </w:t>
      </w:r>
      <w:r>
        <w:t xml:space="preserve">- a large cluster at 0 (never remote),</w:t>
      </w:r>
      <w:r>
        <w:t xml:space="preserve"> </w:t>
      </w:r>
      <w:r>
        <w:t xml:space="preserve">- a midpoint cluster around 0.5 (hybrid),</w:t>
      </w:r>
      <w:r>
        <w:t xml:space="preserve"> </w:t>
      </w:r>
      <w:r>
        <w:t xml:space="preserve">- and a peak at 1.0 (fully remote).</w:t>
      </w:r>
    </w:p>
    <w:p>
      <w:pPr>
        <w:pStyle w:val="BodyText"/>
      </w:pPr>
      <w:r>
        <w:t xml:space="preserve">The regression plot shows a weak positive trend between remote work percentage and perceived productivity.</w:t>
      </w:r>
    </w:p>
    <w:p>
      <w:pPr>
        <w:pStyle w:val="BodyText"/>
      </w:pPr>
      <w:r>
        <w:t xml:space="preserve">Remote_pct_*: meaning all the columns that start with Remote_pct_ – in our context, remote_pct_last_year and remote_pct_last_3_months variables.</w:t>
      </w:r>
    </w:p>
    <w:p>
      <w:pPr>
        <w:pStyle w:val="BodyText"/>
      </w:pPr>
      <w:r>
        <w:rPr>
          <w:b/>
          <w:bCs/>
        </w:rPr>
        <w:t xml:space="preserve">Hours commute / work / personal / domestic</w:t>
      </w:r>
    </w:p>
    <w:p>
      <w:pPr>
        <w:pStyle w:val="BodyText"/>
      </w:pPr>
      <w:r>
        <w:t xml:space="preserve">These variables exhibit high variability, and under the classical IQR test, some show large numbers of outliers (Working_hours_workplace: 271, Commute_hours_remote: 142).</w:t>
      </w:r>
    </w:p>
    <w:p>
      <w:pPr>
        <w:pStyle w:val="BodyText"/>
      </w:pPr>
      <w:r>
        <w:t xml:space="preserve">Commute_hours_remote is essentially zero for most respondents, whereas workplace commute shows very high values for a subgroup.</w:t>
      </w:r>
    </w:p>
    <w:p>
      <w:pPr>
        <w:pStyle w:val="BodyText"/>
      </w:pPr>
      <w:r>
        <w:t xml:space="preserve">**Satisfaction / Preferences (Preferred_remote_*)**</w:t>
      </w:r>
    </w:p>
    <w:p>
      <w:pPr>
        <w:pStyle w:val="BodyText"/>
      </w:pPr>
      <w:r>
        <w:t xml:space="preserve">A significant proportion of respondents indicate a preference for higher levels of remote work — suggesting overall satisfaction with remote arrangements.</w:t>
      </w:r>
    </w:p>
    <w:p>
      <w:pPr>
        <w:pStyle w:val="BodyText"/>
      </w:pPr>
      <w:r>
        <w:rPr>
          <w:b/>
          <w:bCs/>
        </w:rPr>
        <w:t xml:space="preserve">Demographics</w:t>
      </w:r>
    </w:p>
    <w:p>
      <w:pPr>
        <w:pStyle w:val="BodyText"/>
      </w:pPr>
      <w:r>
        <w:t xml:space="preserve">Age is concentrated within typical working-age ranges but includes two implausible values around 120, considered invalid extremes under both IQR methods. Gender distribution shows moderate imbalance.</w:t>
      </w:r>
    </w:p>
    <w:p>
      <w:pPr>
        <w:pStyle w:val="BodyText"/>
      </w:pPr>
      <w:r>
        <w:rPr>
          <w:b/>
          <w:bCs/>
        </w:rPr>
        <w:t xml:space="preserve">Outliers &amp; cleaning (3×IQR method)</w:t>
      </w:r>
    </w:p>
    <w:p>
      <w:pPr>
        <w:pStyle w:val="BodyText"/>
      </w:pPr>
      <w:r>
        <w:t xml:space="preserve">Outlier counts highlight substantial structural variability in the dataset. Using the classical 1.5×IQR rule would remove more than 40% of the sample, which risks discarding legitimate behavioral diversity. Using the 3×IQR rule instead focuses only on filtering clear data errors or implausible extreme values (ages &gt;100, commute hours &gt;10, negative preferred remote percentages).</w:t>
      </w:r>
      <w:r>
        <w:t xml:space="preserve"> </w:t>
      </w:r>
      <w:r>
        <w:t xml:space="preserve">With this more cautious threshold and a tolerance of zero outliers per row, the dataset is reduced from 1370 to 1196 rows, meaning only obviously invalid extreme records were removed. This approach preserves representativity while still improving data quality.</w:t>
      </w:r>
    </w:p>
    <w:bookmarkEnd w:id="42"/>
    <w:bookmarkStart w:id="43" w:name="interpretation-per-finding"/>
    <w:p>
      <w:pPr>
        <w:pStyle w:val="Heading2"/>
      </w:pPr>
      <w:r>
        <w:t xml:space="preserve">Interpretation (per finding)</w:t>
      </w:r>
    </w:p>
    <w:p>
      <w:pPr>
        <w:pStyle w:val="FirstParagraph"/>
      </w:pPr>
      <w:r>
        <w:t xml:space="preserve">Perceived productivity Histograms and boxplots show the distribution of Productivity_remote_vs_workplace is still wide after cleaning.</w:t>
      </w:r>
    </w:p>
    <w:p>
      <w:pPr>
        <w:pStyle w:val="BodyText"/>
      </w:pPr>
      <w:r>
        <w:t xml:space="preserve">The regression line suggests a slight positive correlation between remote work percentage and productivity. The mean appears small relative to the variance, indicating high heterogeneity in productivity experiences. Some individuals report substantial productivity gains, others substantial losses.</w:t>
      </w:r>
    </w:p>
    <w:p>
      <w:pPr>
        <w:pStyle w:val="BodyText"/>
      </w:pPr>
      <w:r>
        <w:t xml:space="preserve">Through these observations, we directly answer this question:</w:t>
      </w:r>
      <w:r>
        <w:t xml:space="preserve"> </w:t>
      </w:r>
      <w:r>
        <w:t xml:space="preserve">“How does remote work influence employees’ overall productivity?”</w:t>
      </w:r>
      <w:r>
        <w:t xml:space="preserve">, and the answer is: effects differ strongly across individuals; no universal impact exists. It is consistent with Bloom et al. (2015) and COVID-era studies showing mixed or context-dependent productivity outcomes.</w:t>
      </w:r>
    </w:p>
    <w:p>
      <w:pPr>
        <w:pStyle w:val="BodyText"/>
      </w:pPr>
      <w:r>
        <w:t xml:space="preserve">The limitations are composed of biases and complexity-lacking interpretation such as Self-reported measure bias and univariate-only interpretation.</w:t>
      </w:r>
    </w:p>
    <w:p>
      <w:pPr>
        <w:pStyle w:val="BodyText"/>
      </w:pPr>
      <w:r>
        <w:t xml:space="preserve">Thus, organisations should adopt flexible and individualized policies, and further multivariate analysis should identify moderators (job type, household structure, management role…).</w:t>
      </w:r>
    </w:p>
    <w:p>
      <w:pPr>
        <w:pStyle w:val="BodyText"/>
      </w:pPr>
      <w:r>
        <w:rPr>
          <w:b/>
          <w:bCs/>
        </w:rPr>
        <w:t xml:space="preserve">Job satisfaction / preferences</w:t>
      </w:r>
    </w:p>
    <w:p>
      <w:pPr>
        <w:pStyle w:val="BodyText"/>
      </w:pPr>
      <w:r>
        <w:t xml:space="preserve">Preferred_remote_* shows many respondents preferring more remote work. Preference likely reflects higher satisfaction with remote work conditions relative to on-site conditions.</w:t>
      </w:r>
    </w:p>
    <w:p>
      <w:pPr>
        <w:pStyle w:val="BodyText"/>
      </w:pPr>
      <w:r>
        <w:t xml:space="preserve">It directly informs remote work increases job satisfaction for many workers and addresses:</w:t>
      </w:r>
      <w:r>
        <w:t xml:space="preserve"> </w:t>
      </w:r>
      <w:r>
        <w:t xml:space="preserve">“Has job satisfaction increased or decreased due to remote working?”</w:t>
      </w:r>
      <w:r>
        <w:t xml:space="preserve">: univariate evidence points to increased satisfaction for many workers.</w:t>
      </w:r>
      <w:r>
        <w:t xml:space="preserve"> </w:t>
      </w:r>
      <w:r>
        <w:t xml:space="preserve">Preference does not equal measured job satisfaction; there is a potential selection bias. Hybrid working models and flexible remote-work options should be explored.</w:t>
      </w:r>
    </w:p>
    <w:p>
      <w:pPr>
        <w:pStyle w:val="BodyText"/>
      </w:pPr>
      <w:r>
        <w:rPr>
          <w:b/>
          <w:bCs/>
        </w:rPr>
        <w:t xml:space="preserve">Social connection / collaboration</w:t>
      </w:r>
      <w:r>
        <w:t xml:space="preserve"> </w:t>
      </w:r>
      <w:r>
        <w:t xml:space="preserve">Likert variables for collaboration (Collaboration_remote_*) are centered around neutral values (Likert value: 3). At an aggregate level, respondents do not report a clear decline or improvement in collaboration while working remotely.</w:t>
      </w:r>
    </w:p>
    <w:p>
      <w:pPr>
        <w:pStyle w:val="BodyText"/>
      </w:pPr>
      <w:r>
        <w:t xml:space="preserve">It addresses the question:</w:t>
      </w:r>
      <w:r>
        <w:t xml:space="preserve"> </w:t>
      </w:r>
      <w:r>
        <w:t xml:space="preserve">“How does remote working affect employees’ ability to maintain social connections and avoid isolation?”</w:t>
      </w:r>
      <w:r>
        <w:t xml:space="preserve">. Digital collaboration tools may offset loss of informal interactions and individual variability likely remains. Likert responses are proxies; no direct psychological isolation is measured.</w:t>
      </w:r>
    </w:p>
    <w:p>
      <w:pPr>
        <w:pStyle w:val="BodyText"/>
      </w:pPr>
      <w:r>
        <w:t xml:space="preserve">However, a preference-based bias might be taken into consideration: as remote work seems more desirable for most respondents, they might answer in a way that avoids remote work discreditation. Organizations should focus interventions on subgroups reporting lower collaboration.</w:t>
      </w:r>
    </w:p>
    <w:p>
      <w:pPr>
        <w:pStyle w:val="BodyText"/>
      </w:pPr>
      <w:r>
        <w:t xml:space="preserve">Structural factors (commute and personal time) Remote commute is almost zero; remote work yields increase in personal, family, and domestic hours. Savings in commute time and reallocation toward personal activities are plausible drivers of increased satisfaction with remote work. We can extrapolate this job and free-time balance to an enhanced mental health and less stressed psychology.</w:t>
      </w:r>
    </w:p>
    <w:p>
      <w:pPr>
        <w:pStyle w:val="BodyText"/>
      </w:pPr>
      <w:r>
        <w:t xml:space="preserve">To</w:t>
      </w:r>
      <w:r>
        <w:t xml:space="preserve"> </w:t>
      </w:r>
      <w:r>
        <w:t xml:space="preserve">“Which factors contribute most to remote-work satisfaction?”</w:t>
      </w:r>
      <w:r>
        <w:t xml:space="preserve">, we can thus conclude that Time savings and increased autonomy are strong candidates, which aligns with research showing commute reduction increases well-being and perceived control over time. However, the trends are univariate only; further multivariate modeling might be needed. Policies should preserve gains in personal time and support work-life balance.</w:t>
      </w:r>
    </w:p>
    <w:bookmarkEnd w:id="43"/>
    <w:bookmarkStart w:id="44" w:name="overall-answers-to-research-questions"/>
    <w:p>
      <w:pPr>
        <w:pStyle w:val="Heading2"/>
      </w:pPr>
      <w:r>
        <w:t xml:space="preserve">Overall answers to research questions</w:t>
      </w:r>
    </w:p>
    <w:p>
      <w:pPr>
        <w:pStyle w:val="FirstParagraph"/>
      </w:pPr>
      <w:r>
        <w:rPr>
          <w:b/>
          <w:bCs/>
        </w:rPr>
        <w:t xml:space="preserve">Productivity</w:t>
      </w:r>
    </w:p>
    <w:p>
      <w:pPr>
        <w:pStyle w:val="BodyText"/>
      </w:pPr>
      <w:r>
        <w:t xml:space="preserve">Remote work has a mixed and highly heterogeneous effect on productivity; the average effect is not clearly positive or negative.</w:t>
      </w:r>
    </w:p>
    <w:p>
      <w:pPr>
        <w:pStyle w:val="BodyText"/>
      </w:pPr>
      <w:r>
        <w:rPr>
          <w:b/>
          <w:bCs/>
        </w:rPr>
        <w:t xml:space="preserve">Social connection / isolation</w:t>
      </w:r>
    </w:p>
    <w:p>
      <w:pPr>
        <w:pStyle w:val="BodyText"/>
      </w:pPr>
      <w:r>
        <w:t xml:space="preserve">Aggregate responses are neutral and no evidence of widespread isolation or deterioration of collaboration is detected.</w:t>
      </w:r>
    </w:p>
    <w:p>
      <w:pPr>
        <w:pStyle w:val="BodyText"/>
      </w:pPr>
      <w:r>
        <w:rPr>
          <w:b/>
          <w:bCs/>
        </w:rPr>
        <w:t xml:space="preserve">Job satisfaction</w:t>
      </w:r>
    </w:p>
    <w:p>
      <w:pPr>
        <w:pStyle w:val="BodyText"/>
      </w:pPr>
      <w:r>
        <w:t xml:space="preserve">Preference patterns imply that for most workers, job satisfaction has increased under remote arrangements.</w:t>
      </w:r>
    </w:p>
    <w:p>
      <w:pPr>
        <w:pStyle w:val="BodyText"/>
      </w:pPr>
      <w:r>
        <w:rPr>
          <w:b/>
          <w:bCs/>
        </w:rPr>
        <w:t xml:space="preserve">Drivers of satisfaction</w:t>
      </w:r>
    </w:p>
    <w:p>
      <w:pPr>
        <w:pStyle w:val="BodyText"/>
      </w:pPr>
      <w:r>
        <w:t xml:space="preserve">The strongest univariate candidates are:</w:t>
      </w:r>
      <w:r>
        <w:t xml:space="preserve"> </w:t>
      </w:r>
      <w:r>
        <w:t xml:space="preserve">- reduced commute,</w:t>
      </w:r>
      <w:r>
        <w:t xml:space="preserve"> </w:t>
      </w:r>
      <w:r>
        <w:t xml:space="preserve">- increased personal/family time,</w:t>
      </w:r>
      <w:r>
        <w:t xml:space="preserve"> </w:t>
      </w:r>
      <w:r>
        <w:t xml:space="preserve">- greater schedule flexibility.</w:t>
      </w:r>
    </w:p>
    <w:bookmarkEnd w:id="44"/>
    <w:bookmarkEnd w:id="45"/>
    <w:bookmarkStart w:id="47" w:name="analysis"/>
    <w:p>
      <w:pPr>
        <w:pStyle w:val="Heading1"/>
      </w:pPr>
      <w:r>
        <w:t xml:space="preserve">Analysis</w:t>
      </w:r>
    </w:p>
    <w:bookmarkStart w:id="46"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6"/>
    <w:bookmarkEnd w:id="47"/>
    <w:bookmarkStart w:id="48"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8"/>
    <w:bookmarkStart w:id="58" w:name="conclusion"/>
    <w:p>
      <w:pPr>
        <w:pStyle w:val="Heading1"/>
      </w:pPr>
      <w:r>
        <w:t xml:space="preserve">Conclusion</w:t>
      </w:r>
    </w:p>
    <w:bookmarkStart w:id="49"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9"/>
    <w:bookmarkStart w:id="5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4" w:name="fig-comparis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3" w:name="fig-after"/>
                <w:p>
                  <w:pPr>
                    <w:pStyle w:val="Compact"/>
                    <w:jc w:val="center"/>
                    <w:jc w:val="left"/>
                  </w:pPr>
                  <w:r>
                    <w:drawing>
                      <wp:inline>
                        <wp:extent cx="2971800" cy="2024223"/>
                        <wp:effectExtent b="0" l="0" r="0" t="0"/>
                        <wp:docPr descr="" title="" id="51" name="Picture"/>
                        <a:graphic>
                          <a:graphicData uri="http://schemas.openxmlformats.org/drawingml/2006/picture">
                            <pic:pic>
                              <pic:nvPicPr>
                                <pic:cNvPr descr="images/Australia_vs_countries.png" id="52" name="Picture"/>
                                <pic:cNvPicPr>
                                  <a:picLocks noChangeArrowheads="1" noChangeAspect="1"/>
                                </pic:cNvPicPr>
                              </pic:nvPicPr>
                              <pic:blipFill>
                                <a:blip r:embed="rId50"/>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comparison</w:t>
                  </w:r>
                </w:p>
                <w:bookmarkEnd w:id="53"/>
              </w:tc>
            </w:tr>
          </w:tbl>
          <w:p/>
        </w:tc>
      </w:tr>
    </w:tbl>
    <w:p>
      <w:pPr>
        <w:pStyle w:val="BodyText"/>
      </w:pPr>
      <w:pPr>
        <w:spacing w:before="200"/>
        <w:pStyle w:val="ImageCaption"/>
      </w:pPr>
      <w:r>
        <w:t xml:space="preserve">Figure 1: The emotional journey of a data scientist debugging their code</w:t>
      </w:r>
    </w:p>
    <w:bookmarkEnd w:id="54"/>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5"/>
    <w:bookmarkStart w:id="56"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56"/>
    <w:bookmarkStart w:id="57"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2025-12-16T15:47:13Z</dcterms:created>
  <dcterms:modified xsi:type="dcterms:W3CDTF">2025-12-16T15:47:13Z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