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32.png" ContentType="image/png"/>
  <Override PartName="/word/media/rId21.png" ContentType="image/png"/>
  <Override PartName="/word/media/rId97.png" ContentType="image/png"/>
  <Override PartName="/word/media/rId35.jpg" ContentType="image/jpeg"/>
  <Override PartName="/word/media/rId39.jpg" ContentType="image/jpeg"/>
  <Override PartName="/word/media/rId89.png" ContentType="image/png"/>
  <Override PartName="/word/media/rId74.png" ContentType="image/png"/>
  <Override PartName="/word/media/rId81.png" ContentType="image/png"/>
  <Override PartName="/word/media/rId69.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1"/>
        </w:numPr>
      </w:pPr>
      <w:r>
        <w:rPr>
          <w:rStyle w:val="VerbatimChar"/>
        </w:rPr>
        <w:t xml:space="preserve">#| echo: false</w:t>
      </w:r>
      <w:r>
        <w:t xml:space="preserve"> </w:t>
      </w:r>
      <w:r>
        <w:t xml:space="preserve">- Hide code, show only output</w:t>
      </w:r>
    </w:p>
    <w:p>
      <w:pPr>
        <w:pStyle w:val="Compact"/>
        <w:numPr>
          <w:ilvl w:val="0"/>
          <w:numId w:val="1001"/>
        </w:numPr>
      </w:pPr>
      <w:r>
        <w:rPr>
          <w:rStyle w:val="VerbatimChar"/>
        </w:rPr>
        <w:t xml:space="preserve">#| eval: false</w:t>
      </w:r>
      <w:r>
        <w:t xml:space="preserve"> </w:t>
      </w:r>
      <w:r>
        <w:t xml:space="preserve">- Show code but don’t run it</w:t>
      </w:r>
    </w:p>
    <w:p>
      <w:pPr>
        <w:pStyle w:val="Compact"/>
        <w:numPr>
          <w:ilvl w:val="0"/>
          <w:numId w:val="1001"/>
        </w:numPr>
      </w:pPr>
      <w:r>
        <w:rPr>
          <w:rStyle w:val="VerbatimChar"/>
        </w:rPr>
        <w:t xml:space="preserve">#| output: false</w:t>
      </w:r>
      <w:r>
        <w:t xml:space="preserve"> </w:t>
      </w:r>
      <w:r>
        <w:t xml:space="preserve">- Run code but hide output</w:t>
      </w:r>
    </w:p>
    <w:p>
      <w:pPr>
        <w:pStyle w:val="Compact"/>
        <w:numPr>
          <w:ilvl w:val="0"/>
          <w:numId w:val="1001"/>
        </w:numPr>
      </w:pPr>
      <w:r>
        <w:rPr>
          <w:rStyle w:val="VerbatimChar"/>
        </w:rPr>
        <w:t xml:space="preserve">#| warning: false</w:t>
      </w:r>
      <w:r>
        <w:t xml:space="preserve"> </w:t>
      </w:r>
      <w:r>
        <w:t xml:space="preserve">- Suppress warning messages</w:t>
      </w:r>
    </w:p>
    <w:p>
      <w:pPr>
        <w:pStyle w:val="Compact"/>
        <w:numPr>
          <w:ilvl w:val="0"/>
          <w:numId w:val="1001"/>
        </w:numPr>
      </w:pPr>
      <w:r>
        <w:rPr>
          <w:rStyle w:val="VerbatimChar"/>
        </w:rPr>
        <w:t xml:space="preserve">#| fig-cap: "My Plot"</w:t>
      </w:r>
      <w:r>
        <w:t xml:space="preserve"> </w:t>
      </w:r>
      <w:r>
        <w:t xml:space="preserve">- Add figure caption</w:t>
      </w:r>
    </w:p>
    <w:p>
      <w:pPr>
        <w:pStyle w:val="Compact"/>
        <w:numPr>
          <w:ilvl w:val="0"/>
          <w:numId w:val="1001"/>
        </w:numPr>
      </w:pPr>
      <w:r>
        <w:rPr>
          <w:rStyle w:val="VerbatimChar"/>
        </w:rPr>
        <w:t xml:space="preserve">#| label: fig-myplot</w:t>
      </w:r>
      <w:r>
        <w:t xml:space="preserve"> </w:t>
      </w:r>
      <w:r>
        <w:t xml:space="preserve">- Label for cross-referencing</w:t>
      </w:r>
    </w:p>
    <w:p>
      <w:pPr>
        <w:pStyle w:val="FirstParagraph"/>
      </w:pPr>
      <w:r>
        <w:t xml:space="preserve">Reference with</w:t>
      </w:r>
      <w:r>
        <w:t xml:space="preserve"> </w:t>
      </w:r>
      <w:r>
        <w:rPr>
          <w:rStyle w:val="VerbatimChar"/>
        </w:rPr>
        <w:t xml:space="preserve">@eq-loss-ratio</w:t>
      </w:r>
      <w:r>
        <w:t xml:space="preserve"> </w:t>
      </w:r>
      <w:r>
        <w:t xml:space="preserve">→</w:t>
      </w:r>
      <w:r>
        <w:t xml:space="preserve"> </w:t>
      </w:r>
      <w:r>
        <w:rPr>
          <w:b/>
          <w:bCs/>
        </w:rPr>
        <w:t xml:space="preserve">?@eq-loss-ratio</w:t>
      </w:r>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r>
        <w:t xml:space="preserve">More at</w:t>
      </w:r>
      <w:r>
        <w:t xml:space="preserve"> </w:t>
      </w:r>
      <w:hyperlink r:id="rId20">
        <w:r>
          <w:rPr>
            <w:rStyle w:val="Hyperlink"/>
          </w:rPr>
          <w:t xml:space="preserve">LaTeX Math Symbols</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Working examples in this template:</w:t>
            </w:r>
          </w:p>
          <w:p>
            <w:pPr>
              <w:pStyle w:val="Compact"/>
              <w:numPr>
                <w:ilvl w:val="0"/>
                <w:numId w:val="1002"/>
              </w:numPr>
            </w:pPr>
            <w:r>
              <w:t xml:space="preserve">“As discussed in</w:t>
            </w:r>
            <w:r>
              <w:t xml:space="preserve"> </w:t>
            </w:r>
            <w:hyperlink w:anchor="sec-appendix-plots">
              <w:r>
                <w:rPr>
                  <w:rStyle w:val="Hyperlink"/>
                </w:rPr>
                <w:t xml:space="preserve">Section 6.4.1</w:t>
              </w:r>
            </w:hyperlink>
            <w:r>
              <w:t xml:space="preserve">, we provide additional visualizations.”</w:t>
            </w:r>
          </w:p>
          <w:p>
            <w:pPr>
              <w:pStyle w:val="Compact"/>
              <w:numPr>
                <w:ilvl w:val="0"/>
                <w:numId w:val="1002"/>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2"/>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24">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3"/>
              </w:numPr>
            </w:pPr>
            <w:r>
              <w:rPr>
                <w:b/>
                <w:bCs/>
              </w:rPr>
              <w:t xml:space="preserve">Organize multiple related visualizations</w:t>
            </w:r>
            <w:r>
              <w:t xml:space="preserve"> </w:t>
            </w:r>
            <w:r>
              <w:t xml:space="preserve">without cluttering the page</w:t>
            </w:r>
          </w:p>
          <w:p>
            <w:pPr>
              <w:pStyle w:val="Compact"/>
              <w:numPr>
                <w:ilvl w:val="0"/>
                <w:numId w:val="1003"/>
              </w:numPr>
            </w:pPr>
            <w:r>
              <w:rPr>
                <w:b/>
                <w:bCs/>
              </w:rPr>
              <w:t xml:space="preserve">Show different views</w:t>
            </w:r>
            <w:r>
              <w:t xml:space="preserve"> </w:t>
            </w:r>
            <w:r>
              <w:t xml:space="preserve">of the same data (distribution, summary, box plot)</w:t>
            </w:r>
          </w:p>
          <w:p>
            <w:pPr>
              <w:pStyle w:val="Compact"/>
              <w:numPr>
                <w:ilvl w:val="0"/>
                <w:numId w:val="1003"/>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4"/>
              </w:numPr>
            </w:pPr>
            <w:r>
              <w:t xml:space="preserve">Relative to current file:</w:t>
            </w:r>
            <w:r>
              <w:t xml:space="preserve"> </w:t>
            </w:r>
            <w:r>
              <w:rPr>
                <w:rStyle w:val="VerbatimChar"/>
              </w:rPr>
              <w:t xml:space="preserve">images/plot.png</w:t>
            </w:r>
          </w:p>
          <w:p>
            <w:pPr>
              <w:pStyle w:val="Compact"/>
              <w:numPr>
                <w:ilvl w:val="0"/>
                <w:numId w:val="1004"/>
              </w:numPr>
            </w:pPr>
            <w:r>
              <w:t xml:space="preserve">From project root:</w:t>
            </w:r>
            <w:r>
              <w:t xml:space="preserve"> </w:t>
            </w:r>
            <w:r>
              <w:rPr>
                <w:rStyle w:val="VerbatimChar"/>
              </w:rPr>
              <w:t xml:space="preserve">../data/plots/figure.png</w:t>
            </w:r>
          </w:p>
          <w:p>
            <w:pPr>
              <w:pStyle w:val="Compact"/>
              <w:numPr>
                <w:ilvl w:val="0"/>
                <w:numId w:val="1004"/>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05"/>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05"/>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05"/>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06"/>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31">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43"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before"/>
                      <w:p>
                        <w:pPr>
                          <w:pStyle w:val="Compact"/>
                          <w:jc w:val="center"/>
                          <w:jc w:val="left"/>
                        </w:pPr>
                        <w:r>
                          <w:drawing>
                            <wp:inline>
                              <wp:extent cx="2971800" cy="3076335"/>
                              <wp:effectExtent b="0" l="0" r="0" t="0"/>
                              <wp:docPr descr="" title="" id="36" name="Picture"/>
                              <a:graphic>
                                <a:graphicData uri="http://schemas.openxmlformats.org/drawingml/2006/picture">
                                  <pic:pic>
                                    <pic:nvPicPr>
                                      <pic:cNvPr descr="images/meme1.jpg" id="37" name="Picture"/>
                                      <pic:cNvPicPr>
                                        <a:picLocks noChangeArrowheads="1" noChangeAspect="1"/>
                                      </pic:cNvPicPr>
                                    </pic:nvPicPr>
                                    <pic:blipFill>
                                      <a:blip r:embed="rId35"/>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after"/>
                      <w:p>
                        <w:pPr>
                          <w:pStyle w:val="Compact"/>
                          <w:jc w:val="center"/>
                          <w:jc w:val="left"/>
                        </w:pPr>
                        <w:r>
                          <w:drawing>
                            <wp:inline>
                              <wp:extent cx="2971800" cy="2333598"/>
                              <wp:effectExtent b="0" l="0" r="0" t="0"/>
                              <wp:docPr descr="" title="" id="40" name="Picture"/>
                              <a:graphic>
                                <a:graphicData uri="http://schemas.openxmlformats.org/drawingml/2006/picture">
                                  <pic:pic>
                                    <pic:nvPicPr>
                                      <pic:cNvPr descr="images/meme2.jpeg" id="41" name="Picture"/>
                                      <pic:cNvPicPr>
                                        <a:picLocks noChangeArrowheads="1" noChangeAspect="1"/>
                                      </pic:cNvPicPr>
                                    </pic:nvPicPr>
                                    <pic:blipFill>
                                      <a:blip r:embed="rId39"/>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42"/>
                    </w:tc>
                  </w:tr>
                </w:tbl>
                <w:p/>
              </w:tc>
            </w:tr>
          </w:tbl>
          <w:p>
            <w:pPr>
              <w:pStyle w:val="BodyText"/>
            </w:pPr>
            <w:pPr>
              <w:spacing w:before="200"/>
              <w:pStyle w:val="ImageCaption"/>
            </w:pPr>
            <w:r>
              <w:t xml:space="preserve">Figure 1: The emotional journey of a data scientist debugging their code</w:t>
            </w:r>
          </w:p>
          <w:bookmarkEnd w:id="43"/>
          <w:p>
            <w:pPr>
              <w:pStyle w:val="BodyText"/>
            </w:pPr>
            <w:r>
              <w:rPr>
                <w:b/>
                <w:bCs/>
              </w:rPr>
              <w:t xml:space="preserve">Key options:</w:t>
            </w:r>
          </w:p>
          <w:p>
            <w:pPr>
              <w:pStyle w:val="Compact"/>
              <w:numPr>
                <w:ilvl w:val="0"/>
                <w:numId w:val="1007"/>
              </w:numPr>
            </w:pPr>
            <w:r>
              <w:rPr>
                <w:rStyle w:val="VerbatimChar"/>
              </w:rPr>
              <w:t xml:space="preserve">layout-ncol=2</w:t>
            </w:r>
            <w:r>
              <w:t xml:space="preserve"> </w:t>
            </w:r>
            <w:r>
              <w:t xml:space="preserve">- Two columns (each 50% width)</w:t>
            </w:r>
          </w:p>
          <w:p>
            <w:pPr>
              <w:pStyle w:val="Compact"/>
              <w:numPr>
                <w:ilvl w:val="0"/>
                <w:numId w:val="1007"/>
              </w:numPr>
            </w:pPr>
            <w:r>
              <w:rPr>
                <w:rStyle w:val="VerbatimChar"/>
              </w:rPr>
              <w:t xml:space="preserve">layout-valign="bottom"</w:t>
            </w:r>
            <w:r>
              <w:t xml:space="preserve"> </w:t>
            </w:r>
            <w:r>
              <w:t xml:space="preserve">- Align by bottom edge</w:t>
            </w:r>
          </w:p>
          <w:p>
            <w:pPr>
              <w:pStyle w:val="Compact"/>
              <w:numPr>
                <w:ilvl w:val="0"/>
                <w:numId w:val="1007"/>
              </w:numPr>
            </w:pPr>
            <w:r>
              <w:rPr>
                <w:rStyle w:val="VerbatimChar"/>
              </w:rPr>
              <w:t xml:space="preserve">width=100%</w:t>
            </w:r>
            <w:r>
              <w:t xml:space="preserve"> </w:t>
            </w:r>
            <w:r>
              <w:t xml:space="preserve">- Fill entire column</w:t>
            </w:r>
          </w:p>
          <w:p>
            <w:pPr>
              <w:pStyle w:val="Compact"/>
              <w:numPr>
                <w:ilvl w:val="0"/>
                <w:numId w:val="1007"/>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08"/>
              </w:numPr>
            </w:pPr>
            <w:r>
              <w:rPr>
                <w:b/>
                <w:bCs/>
              </w:rPr>
              <w:t xml:space="preserve">All outputs:</w:t>
            </w:r>
            <w:r>
              <w:t xml:space="preserve"> </w:t>
            </w:r>
            <w:r>
              <w:t xml:space="preserve">PNG, JPG/JPEG</w:t>
            </w:r>
          </w:p>
          <w:p>
            <w:pPr>
              <w:pStyle w:val="Compact"/>
              <w:numPr>
                <w:ilvl w:val="0"/>
                <w:numId w:val="1008"/>
              </w:numPr>
            </w:pPr>
            <w:r>
              <w:rPr>
                <w:b/>
                <w:bCs/>
              </w:rPr>
              <w:t xml:space="preserve">HTML only:</w:t>
            </w:r>
            <w:r>
              <w:t xml:space="preserve"> </w:t>
            </w:r>
            <w:r>
              <w:t xml:space="preserve">WEBP, SVG, GIF</w:t>
            </w:r>
          </w:p>
          <w:p>
            <w:pPr>
              <w:pStyle w:val="Compact"/>
              <w:numPr>
                <w:ilvl w:val="0"/>
                <w:numId w:val="1008"/>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44">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09"/>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09"/>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09"/>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0"/>
              </w:numPr>
            </w:pPr>
            <w:r>
              <w:t xml:space="preserve">Small plot:</w:t>
            </w:r>
            <w:r>
              <w:t xml:space="preserve"> </w:t>
            </w:r>
            <w:r>
              <w:rPr>
                <w:rStyle w:val="VerbatimChar"/>
              </w:rPr>
              <w:t xml:space="preserve">figsize=(6, 4)</w:t>
            </w:r>
          </w:p>
          <w:p>
            <w:pPr>
              <w:pStyle w:val="Compact"/>
              <w:numPr>
                <w:ilvl w:val="0"/>
                <w:numId w:val="1010"/>
              </w:numPr>
            </w:pPr>
            <w:r>
              <w:t xml:space="preserve">Standard plot:</w:t>
            </w:r>
            <w:r>
              <w:t xml:space="preserve"> </w:t>
            </w:r>
            <w:r>
              <w:rPr>
                <w:rStyle w:val="VerbatimChar"/>
              </w:rPr>
              <w:t xml:space="preserve">figsize=(8, 5)</w:t>
            </w:r>
          </w:p>
          <w:p>
            <w:pPr>
              <w:pStyle w:val="Compact"/>
              <w:numPr>
                <w:ilvl w:val="0"/>
                <w:numId w:val="1010"/>
              </w:numPr>
            </w:pPr>
            <w:r>
              <w:t xml:space="preserve">Large plot:</w:t>
            </w:r>
            <w:r>
              <w:t xml:space="preserve"> </w:t>
            </w:r>
            <w:r>
              <w:rPr>
                <w:rStyle w:val="VerbatimChar"/>
              </w:rPr>
              <w:t xml:space="preserve">figsize=(10, 6)</w:t>
            </w:r>
          </w:p>
          <w:p>
            <w:pPr>
              <w:pStyle w:val="Compact"/>
              <w:numPr>
                <w:ilvl w:val="0"/>
                <w:numId w:val="1010"/>
              </w:numPr>
            </w:pPr>
            <w:r>
              <w:t xml:space="preserve">Wide plot:</w:t>
            </w:r>
            <w:r>
              <w:t xml:space="preserve"> </w:t>
            </w:r>
            <w:r>
              <w:rPr>
                <w:rStyle w:val="VerbatimChar"/>
              </w:rPr>
              <w:t xml:space="preserve">figsize=(10, 4)</w:t>
            </w:r>
          </w:p>
          <w:p>
            <w:pPr>
              <w:pStyle w:val="Compact"/>
              <w:numPr>
                <w:ilvl w:val="0"/>
                <w:numId w:val="1010"/>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Start w:id="50" w:name="introduction"/>
    <w:p>
      <w:pPr>
        <w:pStyle w:val="Heading1"/>
      </w:pPr>
      <w:r>
        <w:t xml:space="preserve">Introduction</w:t>
      </w:r>
    </w:p>
    <w:bookmarkStart w:id="47"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47"/>
    <w:bookmarkStart w:id="48" w:name="research-questions"/>
    <w:p>
      <w:pPr>
        <w:pStyle w:val="Heading2"/>
      </w:pPr>
      <w:r>
        <w:t xml:space="preserve">Research Questions</w:t>
      </w:r>
    </w:p>
    <w:p>
      <w:pPr>
        <w:pStyle w:val="Compact"/>
        <w:numPr>
          <w:ilvl w:val="0"/>
          <w:numId w:val="1011"/>
        </w:numPr>
      </w:pPr>
      <w:r>
        <w:t xml:space="preserve">How does remote work influence employees’ overall productivity?</w:t>
      </w:r>
    </w:p>
    <w:p>
      <w:pPr>
        <w:pStyle w:val="Compact"/>
        <w:numPr>
          <w:ilvl w:val="0"/>
          <w:numId w:val="1011"/>
        </w:numPr>
      </w:pPr>
      <w:r>
        <w:t xml:space="preserve">How does remote working affect employees’ ability to maintain social connections and avoid feelings of isolation?</w:t>
      </w:r>
    </w:p>
    <w:p>
      <w:pPr>
        <w:pStyle w:val="Compact"/>
        <w:numPr>
          <w:ilvl w:val="0"/>
          <w:numId w:val="1011"/>
        </w:numPr>
      </w:pPr>
      <w:r>
        <w:t xml:space="preserve">Has job satisfaction decreased or increased as a result of remote working conditions?</w:t>
      </w:r>
    </w:p>
    <w:p>
      <w:pPr>
        <w:pStyle w:val="Compact"/>
        <w:numPr>
          <w:ilvl w:val="0"/>
          <w:numId w:val="1011"/>
        </w:numPr>
      </w:pPr>
      <w:r>
        <w:t xml:space="preserve">Which factors contribute the most to employees’ overall satisfaction with remote work?</w:t>
      </w:r>
    </w:p>
    <w:bookmarkEnd w:id="48"/>
    <w:bookmarkStart w:id="49"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49"/>
    <w:bookmarkEnd w:id="50"/>
    <w:bookmarkStart w:id="62" w:name="data"/>
    <w:p>
      <w:pPr>
        <w:pStyle w:val="Heading1"/>
      </w:pPr>
      <w:r>
        <w:t xml:space="preserve">Data</w:t>
      </w:r>
    </w:p>
    <w:bookmarkStart w:id="52"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51">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12"/>
        </w:numPr>
      </w:pPr>
      <w:r>
        <w:t xml:space="preserve">be employed NSW residents</w:t>
      </w:r>
    </w:p>
    <w:p>
      <w:pPr>
        <w:numPr>
          <w:ilvl w:val="0"/>
          <w:numId w:val="101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is the 2020 wave of the survey. A second wave was collected in March and April 2021. For the present analysis, only the 2020 dataset is being processed and explored. Once the analysis of this wave is finalized, it will be possible to extend the project by including and comparing the 2021 dataset to identify how remote work patterns evolved over time.</w:t>
      </w:r>
    </w:p>
    <w:bookmarkEnd w:id="52"/>
    <w:bookmarkStart w:id="55"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1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1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1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1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14"/>
              </w:numPr>
            </w:pPr>
            <w:r>
              <w:rPr>
                <w:b/>
                <w:bCs/>
              </w:rPr>
              <w:t xml:space="preserve">File used:</w:t>
            </w:r>
            <w:r>
              <w:t xml:space="preserve"> </w:t>
            </w:r>
            <w:r>
              <w:t xml:space="preserve">2020_rws-updated.csv</w:t>
            </w:r>
          </w:p>
          <w:p>
            <w:pPr>
              <w:numPr>
                <w:ilvl w:val="0"/>
                <w:numId w:val="1014"/>
              </w:numPr>
            </w:pPr>
            <w:r>
              <w:rPr>
                <w:b/>
                <w:bCs/>
              </w:rPr>
              <w:t xml:space="preserve">Format:</w:t>
            </w:r>
            <w:r>
              <w:t xml:space="preserve"> </w:t>
            </w:r>
            <w:r>
              <w:t xml:space="preserve">CSV (comma-separated values)</w:t>
            </w:r>
          </w:p>
          <w:p>
            <w:pPr>
              <w:numPr>
                <w:ilvl w:val="0"/>
                <w:numId w:val="101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14"/>
              </w:numPr>
            </w:pPr>
            <w:r>
              <w:rPr>
                <w:b/>
                <w:bCs/>
              </w:rPr>
              <w:t xml:space="preserve">Memory usage:</w:t>
            </w:r>
            <w:r>
              <w:t xml:space="preserve"> </w:t>
            </w:r>
            <w:r>
              <w:t xml:space="preserve">approximately 7.46 MB</w:t>
            </w:r>
          </w:p>
          <w:p>
            <w:pPr>
              <w:numPr>
                <w:ilvl w:val="0"/>
                <w:numId w:val="1014"/>
              </w:numPr>
            </w:pPr>
            <w:r>
              <w:rPr>
                <w:b/>
                <w:bCs/>
              </w:rPr>
              <w:t xml:space="preserve">Number of observations:</w:t>
            </w:r>
            <w:r>
              <w:t xml:space="preserve"> </w:t>
            </w:r>
            <w:r>
              <w:t xml:space="preserve">1507 respondents (1370 rows after cleaning)</w:t>
            </w:r>
          </w:p>
          <w:p>
            <w:pPr>
              <w:numPr>
                <w:ilvl w:val="0"/>
                <w:numId w:val="1014"/>
              </w:numPr>
            </w:pPr>
            <w:r>
              <w:rPr>
                <w:b/>
                <w:bCs/>
              </w:rPr>
              <w:t xml:space="preserve">Number of variables:</w:t>
            </w:r>
            <w:r>
              <w:t xml:space="preserve"> </w:t>
            </w:r>
            <w:r>
              <w:t xml:space="preserve">73 columns (25 after cleaning)</w:t>
            </w:r>
          </w:p>
          <w:p>
            <w:pPr>
              <w:numPr>
                <w:ilvl w:val="0"/>
                <w:numId w:val="1014"/>
              </w:numPr>
            </w:pPr>
            <w:r>
              <w:rPr>
                <w:b/>
                <w:bCs/>
              </w:rPr>
              <w:t xml:space="preserve">Time period:</w:t>
            </w:r>
            <w:r>
              <w:t xml:space="preserve"> </w:t>
            </w:r>
            <w:r>
              <w:t xml:space="preserve">August and September 2020</w:t>
            </w:r>
          </w:p>
          <w:p>
            <w:pPr>
              <w:numPr>
                <w:ilvl w:val="0"/>
                <w:numId w:val="1014"/>
              </w:numPr>
            </w:pPr>
            <w:r>
              <w:rPr>
                <w:b/>
                <w:bCs/>
              </w:rPr>
              <w:t xml:space="preserve">Geographic coverage:</w:t>
            </w:r>
            <w:r>
              <w:t xml:space="preserve"> </w:t>
            </w:r>
            <w:r>
              <w:t xml:space="preserve">New South Wales, Australia</w:t>
            </w:r>
          </w:p>
          <w:p>
            <w:pPr>
              <w:numPr>
                <w:ilvl w:val="0"/>
                <w:numId w:val="101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55"/>
    <w:bookmarkStart w:id="57"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56"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56"/>
    <w:bookmarkEnd w:id="57"/>
    <w:bookmarkStart w:id="61" w:name="wrangling"/>
    <w:p>
      <w:pPr>
        <w:pStyle w:val="Heading2"/>
      </w:pPr>
      <w:r>
        <w:t xml:space="preserve">Wrangling</w:t>
      </w:r>
    </w:p>
    <w:bookmarkStart w:id="58"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58"/>
    <w:bookmarkStart w:id="59"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15"/>
        </w:numPr>
      </w:pPr>
      <w:r>
        <w:t xml:space="preserve">Most variables contained very few missing values, mainly in attitudinal questions where some respondents simply did not answer.</w:t>
      </w:r>
    </w:p>
    <w:p>
      <w:pPr>
        <w:numPr>
          <w:ilvl w:val="0"/>
          <w:numId w:val="1015"/>
        </w:numPr>
      </w:pPr>
      <w:r>
        <w:t xml:space="preserve">Additional missingness appeared when converting textual inputs (percentages or productivity statements) into numeric formats, entries that could not be parsed were intentionally converted to NaN.</w:t>
      </w:r>
    </w:p>
    <w:p>
      <w:pPr>
        <w:numPr>
          <w:ilvl w:val="0"/>
          <w:numId w:val="101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16"/>
        </w:numPr>
      </w:pPr>
      <w:r>
        <w:t xml:space="preserve">Deletion was applied when missingness or category size was extremely small and analytically useless.</w:t>
      </w:r>
    </w:p>
    <w:p>
      <w:pPr>
        <w:numPr>
          <w:ilvl w:val="0"/>
          <w:numId w:val="1016"/>
        </w:numPr>
      </w:pPr>
      <w:r>
        <w:t xml:space="preserve">Imputation with a neutral value (3 = Neither agree nor disagree) was used for missing Likert-scale answers to preserve observations without creating bias.</w:t>
      </w:r>
    </w:p>
    <w:p>
      <w:pPr>
        <w:numPr>
          <w:ilvl w:val="0"/>
          <w:numId w:val="101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1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1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59"/>
    <w:bookmarkStart w:id="60"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1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19"/>
        </w:numPr>
      </w:pPr>
      <w:r>
        <w:t xml:space="preserve">Domestic_hours_workplace: A single observation of –1 hour is impossible and indicates a recording error.</w:t>
      </w:r>
    </w:p>
    <w:p>
      <w:pPr>
        <w:numPr>
          <w:ilvl w:val="0"/>
          <w:numId w:val="101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20"/>
        </w:numPr>
      </w:pPr>
      <w:r>
        <w:t xml:space="preserve">Commute_hours_remote: Values up to 12 hours on remote days are implausible and likely due to misinterpretation or input mistakes.</w:t>
      </w:r>
    </w:p>
    <w:p>
      <w:pPr>
        <w:numPr>
          <w:ilvl w:val="0"/>
          <w:numId w:val="102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21"/>
        </w:numPr>
      </w:pPr>
      <w:r>
        <w:t xml:space="preserve">Outliers were evaluated using:</w:t>
      </w:r>
    </w:p>
    <w:p>
      <w:pPr>
        <w:numPr>
          <w:ilvl w:val="1"/>
          <w:numId w:val="1022"/>
        </w:numPr>
      </w:pPr>
      <w:r>
        <w:t xml:space="preserve">Visual inspection (histograms from univariate EDA)</w:t>
      </w:r>
    </w:p>
    <w:p>
      <w:pPr>
        <w:numPr>
          <w:ilvl w:val="1"/>
          <w:numId w:val="1022"/>
        </w:numPr>
      </w:pPr>
      <w:r>
        <w:t xml:space="preserve">Summary statistics (min/max, interquartile ranges)</w:t>
      </w:r>
    </w:p>
    <w:p>
      <w:pPr>
        <w:numPr>
          <w:ilvl w:val="1"/>
          <w:numId w:val="1022"/>
        </w:numPr>
      </w:pPr>
      <w:r>
        <w:t xml:space="preserve">Domain knowledge (negative hours, impossible ages)</w:t>
      </w:r>
    </w:p>
    <w:p>
      <w:pPr>
        <w:numPr>
          <w:ilvl w:val="0"/>
          <w:numId w:val="1021"/>
        </w:numPr>
      </w:pPr>
      <w:r>
        <w:t xml:space="preserve">Following best practices</w:t>
      </w:r>
    </w:p>
    <w:p>
      <w:pPr>
        <w:numPr>
          <w:ilvl w:val="1"/>
          <w:numId w:val="1023"/>
        </w:numPr>
      </w:pPr>
      <w:r>
        <w:t xml:space="preserve">Impossible values (age = 120, domestic hours = –1) will be removed before modelling.</w:t>
      </w:r>
    </w:p>
    <w:p>
      <w:pPr>
        <w:numPr>
          <w:ilvl w:val="1"/>
          <w:numId w:val="1023"/>
        </w:numPr>
      </w:pPr>
      <w:r>
        <w:t xml:space="preserve">Extreme but plausible behaviours (very long workdays) are kept unless they later bias model results.</w:t>
      </w:r>
    </w:p>
    <w:p>
      <w:pPr>
        <w:numPr>
          <w:ilvl w:val="1"/>
          <w:numId w:val="102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60"/>
    <w:bookmarkEnd w:id="61"/>
    <w:bookmarkEnd w:id="62"/>
    <w:bookmarkStart w:id="105" w:name="eda"/>
    <w:p>
      <w:pPr>
        <w:pStyle w:val="Heading1"/>
      </w:pPr>
      <w:r>
        <w:t xml:space="preserve">EDA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Exploratory Data Analysis (EDA) Purpose</w:t>
            </w:r>
          </w:p>
        </w:tc>
      </w:tr>
      <w:tr>
        <w:trPr>
          <w:cantSplit/>
        </w:trPr>
        <w:tc>
          <w:tcPr>
            <w:tcMar>
              <w:top w:w="108" w:type="dxa"/>
              <w:bottom w:w="108" w:type="dxa"/>
            </w:tcMar>
          </w:tcPr>
          <w:p>
            <w:pPr>
              <w:pStyle w:val="BodyText"/>
            </w:pPr>
            <w:pPr>
              <w:spacing w:before="16"/>
            </w:pPr>
            <w:r>
              <w:t xml:space="preserve">The goal of EDA is to:</w:t>
            </w:r>
          </w:p>
          <w:p>
            <w:pPr>
              <w:pStyle w:val="Compact"/>
              <w:numPr>
                <w:ilvl w:val="0"/>
                <w:numId w:val="1024"/>
              </w:numPr>
            </w:pPr>
            <w:r>
              <w:rPr>
                <w:b/>
                <w:bCs/>
              </w:rPr>
              <w:t xml:space="preserve">Understand</w:t>
            </w:r>
            <w:r>
              <w:t xml:space="preserve"> </w:t>
            </w:r>
            <w:r>
              <w:t xml:space="preserve">the structure and patterns in your data</w:t>
            </w:r>
          </w:p>
          <w:p>
            <w:pPr>
              <w:pStyle w:val="Compact"/>
              <w:numPr>
                <w:ilvl w:val="0"/>
                <w:numId w:val="1024"/>
              </w:numPr>
            </w:pPr>
            <w:r>
              <w:rPr>
                <w:b/>
                <w:bCs/>
              </w:rPr>
              <w:t xml:space="preserve">Identify</w:t>
            </w:r>
            <w:r>
              <w:t xml:space="preserve"> </w:t>
            </w:r>
            <w:r>
              <w:t xml:space="preserve">relationships between variables</w:t>
            </w:r>
          </w:p>
          <w:p>
            <w:pPr>
              <w:pStyle w:val="Compact"/>
              <w:numPr>
                <w:ilvl w:val="0"/>
                <w:numId w:val="1024"/>
              </w:numPr>
            </w:pPr>
            <w:r>
              <w:rPr>
                <w:b/>
                <w:bCs/>
              </w:rPr>
              <w:t xml:space="preserve">Detect</w:t>
            </w:r>
            <w:r>
              <w:t xml:space="preserve"> </w:t>
            </w:r>
            <w:r>
              <w:t xml:space="preserve">anomalies, outliers, and data quality issues</w:t>
            </w:r>
          </w:p>
          <w:p>
            <w:pPr>
              <w:pStyle w:val="Compact"/>
              <w:numPr>
                <w:ilvl w:val="0"/>
                <w:numId w:val="1024"/>
              </w:numPr>
            </w:pPr>
            <w:r>
              <w:rPr>
                <w:b/>
                <w:bCs/>
              </w:rPr>
              <w:t xml:space="preserve">Generate</w:t>
            </w:r>
            <w:r>
              <w:t xml:space="preserve"> </w:t>
            </w:r>
            <w:r>
              <w:t xml:space="preserve">hypotheses for further analysis</w:t>
            </w:r>
          </w:p>
          <w:p>
            <w:pPr>
              <w:pStyle w:val="Compact"/>
              <w:numPr>
                <w:ilvl w:val="0"/>
                <w:numId w:val="1024"/>
              </w:numPr>
            </w:pPr>
            <w:r>
              <w:rPr>
                <w:b/>
                <w:bCs/>
              </w:rPr>
              <w:t xml:space="preserve">Choose</w:t>
            </w:r>
            <w:r>
              <w:t xml:space="preserve"> </w:t>
            </w:r>
            <w:r>
              <w:t xml:space="preserve">appropriate statistical methods</w:t>
            </w:r>
          </w:p>
          <w:p>
            <w:pPr>
              <w:pStyle w:val="FirstParagraph"/>
            </w:pPr>
            <w:pPr>
              <w:spacing w:after="16"/>
            </w:pPr>
            <w:r>
              <w:t xml:space="preserve">Good EDA combines</w:t>
            </w:r>
            <w:r>
              <w:t xml:space="preserve"> </w:t>
            </w:r>
            <w:r>
              <w:rPr>
                <w:b/>
                <w:bCs/>
              </w:rPr>
              <w:t xml:space="preserve">visualizations</w:t>
            </w:r>
            <w:r>
              <w:t xml:space="preserve"> </w:t>
            </w:r>
            <w:r>
              <w:t xml:space="preserve">+</w:t>
            </w:r>
            <w:r>
              <w:t xml:space="preserve"> </w:t>
            </w:r>
            <w:r>
              <w:rPr>
                <w:b/>
                <w:bCs/>
              </w:rPr>
              <w:t xml:space="preserve">summary statistics</w:t>
            </w:r>
            <w:r>
              <w:t xml:space="preserve"> </w:t>
            </w:r>
            <w:r>
              <w:t xml:space="preserve">+</w:t>
            </w:r>
            <w:r>
              <w:t xml:space="preserve"> </w:t>
            </w:r>
            <w:r>
              <w:rPr>
                <w:b/>
                <w:bCs/>
              </w:rPr>
              <w:t xml:space="preserve">domain knowledge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Key!</w:t>
            </w:r>
          </w:p>
        </w:tc>
      </w:tr>
      <w:tr>
        <w:trPr>
          <w:cantSplit/>
        </w:trPr>
        <w:tc>
          <w:tcPr>
            <w:tcMar>
              <w:top w:w="108" w:type="dxa"/>
              <w:bottom w:w="108" w:type="dxa"/>
            </w:tcMar>
          </w:tcPr>
          <w:p>
            <w:pPr>
              <w:pStyle w:val="BodyText"/>
            </w:pPr>
            <w:pPr>
              <w:spacing w:before="16"/>
            </w:pPr>
            <w:r>
              <w:rPr>
                <w:b/>
                <w:bCs/>
              </w:rPr>
              <w:t xml:space="preserve">Creating plots is only half the work.</w:t>
            </w:r>
            <w:r>
              <w:t xml:space="preserve"> </w:t>
            </w:r>
            <w:r>
              <w:t xml:space="preserve">The most important part of EDA is</w:t>
            </w:r>
            <w:r>
              <w:t xml:space="preserve"> </w:t>
            </w:r>
            <w:r>
              <w:rPr>
                <w:b/>
                <w:bCs/>
              </w:rPr>
              <w:t xml:space="preserve">interpreting</w:t>
            </w:r>
            <w:r>
              <w:t xml:space="preserve"> </w:t>
            </w:r>
            <w:r>
              <w:t xml:space="preserve">what your visualizations reveal about the data.</w:t>
            </w:r>
          </w:p>
          <w:p>
            <w:pPr>
              <w:pStyle w:val="BodyText"/>
            </w:pPr>
            <w:r>
              <w:t xml:space="preserve">For</w:t>
            </w:r>
            <w:r>
              <w:t xml:space="preserve"> </w:t>
            </w:r>
            <w:r>
              <w:rPr>
                <w:b/>
                <w:bCs/>
              </w:rPr>
              <w:t xml:space="preserve">every plot</w:t>
            </w:r>
            <w:r>
              <w:t xml:space="preserve"> </w:t>
            </w:r>
            <w:r>
              <w:t xml:space="preserve">you create, you must:</w:t>
            </w:r>
          </w:p>
          <w:p>
            <w:pPr>
              <w:pStyle w:val="Compact"/>
              <w:numPr>
                <w:ilvl w:val="0"/>
                <w:numId w:val="1025"/>
              </w:numPr>
            </w:pPr>
            <w:r>
              <w:rPr>
                <w:b/>
                <w:bCs/>
              </w:rPr>
              <w:t xml:space="preserve">Describe</w:t>
            </w:r>
            <w:r>
              <w:t xml:space="preserve"> </w:t>
            </w:r>
            <w:r>
              <w:t xml:space="preserve">what the plot shows (patterns, trends, distributions)</w:t>
            </w:r>
          </w:p>
          <w:p>
            <w:pPr>
              <w:pStyle w:val="Compact"/>
              <w:numPr>
                <w:ilvl w:val="0"/>
                <w:numId w:val="1025"/>
              </w:numPr>
            </w:pPr>
            <w:r>
              <w:rPr>
                <w:b/>
                <w:bCs/>
              </w:rPr>
              <w:t xml:space="preserve">Explain</w:t>
            </w:r>
            <w:r>
              <w:t xml:space="preserve"> </w:t>
            </w:r>
            <w:r>
              <w:t xml:space="preserve">why these patterns matter for your research questions</w:t>
            </w:r>
          </w:p>
          <w:p>
            <w:pPr>
              <w:pStyle w:val="Compact"/>
              <w:numPr>
                <w:ilvl w:val="0"/>
                <w:numId w:val="1025"/>
              </w:numPr>
            </w:pPr>
            <w:r>
              <w:rPr>
                <w:b/>
                <w:bCs/>
              </w:rPr>
              <w:t xml:space="preserve">Connect</w:t>
            </w:r>
            <w:r>
              <w:t xml:space="preserve"> </w:t>
            </w:r>
            <w:r>
              <w:t xml:space="preserve">findings to your project goals and domain context</w:t>
            </w:r>
          </w:p>
          <w:p>
            <w:pPr>
              <w:pStyle w:val="Compact"/>
              <w:numPr>
                <w:ilvl w:val="0"/>
                <w:numId w:val="1025"/>
              </w:numPr>
            </w:pPr>
            <w:r>
              <w:rPr>
                <w:b/>
                <w:bCs/>
              </w:rPr>
              <w:t xml:space="preserve">Justify</w:t>
            </w:r>
            <w:r>
              <w:t xml:space="preserve"> </w:t>
            </w:r>
            <w:r>
              <w:t xml:space="preserve">subsequent analysis decisions based on these insights</w:t>
            </w:r>
          </w:p>
          <w:p>
            <w:pPr>
              <w:pStyle w:val="FirstParagraph"/>
            </w:pPr>
            <w:pPr>
              <w:spacing w:after="16"/>
            </w:pPr>
            <w:r>
              <w:rPr>
                <w:b/>
                <w:bCs/>
              </w:rPr>
              <w:t xml:space="preserve">A plot without interpretation is meaningless.</w:t>
            </w:r>
            <w:r>
              <w:t xml:space="preserve"> </w:t>
            </w:r>
            <w:r>
              <w:t xml:space="preserve">Your grade depends heavily on the quality of your interpretations, not just the number of plots you create.</w:t>
            </w:r>
          </w:p>
          <w:p/>
        </w:tc>
      </w:tr>
    </w:tbl>
    <w:bookmarkStart w:id="68"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End w:id="68"/>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72" w:name="fig-performance-dist"/>
          <w:p>
            <w:pPr>
              <w:pStyle w:val="Compact"/>
              <w:jc w:val="center"/>
            </w:pPr>
            <w:r>
              <w:drawing>
                <wp:inline>
                  <wp:extent cx="5334000" cy="3283009"/>
                  <wp:effectExtent b="0" l="0" r="0" t="0"/>
                  <wp:docPr descr="" title="" id="70" name="Picture"/>
                  <a:graphic>
                    <a:graphicData uri="http://schemas.openxmlformats.org/drawingml/2006/picture">
                      <pic:pic>
                        <pic:nvPicPr>
                          <pic:cNvPr descr="report_files/figure-docx/fig-performance-dist-output-1.png" id="71" name="Picture"/>
                          <pic:cNvPicPr>
                            <a:picLocks noChangeArrowheads="1" noChangeAspect="1"/>
                          </pic:cNvPicPr>
                        </pic:nvPicPr>
                        <pic:blipFill>
                          <a:blip r:embed="rId69"/>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performance scores showing approximately normal distribution</w:t>
            </w:r>
          </w:p>
          <w:bookmarkEnd w:id="72"/>
        </w:tc>
      </w:tr>
    </w:tbl>
    <w:p>
      <w:pPr>
        <w:pStyle w:val="Heading2"/>
      </w:pPr>
      <w:r>
        <w:t xml:space="preserve">Summary Statistics</w:t>
      </w:r>
    </w:p>
    <w:tbl>
      <w:tblPr>
        <w:tblStyle w:val="Table"/>
        <w:tblW w:type="pct" w:w="5000"/>
        <w:tblLayout w:type="fixed"/>
        <w:tblLook w:firstRow="0" w:lastRow="0" w:firstColumn="0" w:lastColumn="0" w:noHBand="0" w:noVBand="0" w:val="0000"/>
      </w:tblPr>
      <w:tblGrid>
        <w:gridCol w:w="7920"/>
      </w:tblGrid>
      <w:tr>
        <w:tc>
          <w:tcPr/>
          <w:bookmarkStart w:id="73" w:name="tbl-summary-stats"/>
          <w:p>
            <w:pPr>
              <w:jc w:val="center"/>
            </w:pPr>
            <w:pPr>
              <w:jc w:val="left"/>
              <w:spacing w:before="200"/>
              <w:pStyle w:val="ImageCaption"/>
            </w:pPr>
            <w:r>
              <w:t xml:space="preserve">Table 1: Summary statistics for performance scores</w:t>
            </w:r>
          </w:p>
          <w:p>
            <w:pPr>
              <w:pStyle w:val="SourceCode"/>
              <w:jc w:val="center"/>
            </w:pPr>
            <w:r>
              <w:br/>
            </w:r>
            <w:r>
              <w:rPr>
                <w:rStyle w:val="VerbatimChar"/>
              </w:rPr>
              <w:t xml:space="preserve">=== Performance Summary Statistics ===</w:t>
            </w:r>
            <w:r>
              <w:br/>
            </w:r>
            <w:r>
              <w:rPr>
                <w:rStyle w:val="VerbatimChar"/>
              </w:rPr>
              <w:t xml:space="preserve">count    200.000000</w:t>
            </w:r>
            <w:r>
              <w:br/>
            </w:r>
            <w:r>
              <w:rPr>
                <w:rStyle w:val="VerbatimChar"/>
              </w:rPr>
              <w:t xml:space="preserve">mean       0.900564</w:t>
            </w:r>
            <w:r>
              <w:br/>
            </w:r>
            <w:r>
              <w:rPr>
                <w:rStyle w:val="VerbatimChar"/>
              </w:rPr>
              <w:t xml:space="preserve">std        0.047921</w:t>
            </w:r>
            <w:r>
              <w:br/>
            </w:r>
            <w:r>
              <w:rPr>
                <w:rStyle w:val="VerbatimChar"/>
              </w:rPr>
              <w:t xml:space="preserve">min        0.784097</w:t>
            </w:r>
            <w:r>
              <w:br/>
            </w:r>
            <w:r>
              <w:rPr>
                <w:rStyle w:val="VerbatimChar"/>
              </w:rPr>
              <w:t xml:space="preserve">25%        0.866466</w:t>
            </w:r>
            <w:r>
              <w:br/>
            </w:r>
            <w:r>
              <w:rPr>
                <w:rStyle w:val="VerbatimChar"/>
              </w:rPr>
              <w:t xml:space="preserve">50%        0.898625</w:t>
            </w:r>
            <w:r>
              <w:br/>
            </w:r>
            <w:r>
              <w:rPr>
                <w:rStyle w:val="VerbatimChar"/>
              </w:rPr>
              <w:t xml:space="preserve">75%        0.930474</w:t>
            </w:r>
            <w:r>
              <w:br/>
            </w:r>
            <w:r>
              <w:rPr>
                <w:rStyle w:val="VerbatimChar"/>
              </w:rPr>
              <w:t xml:space="preserve">max        1.000000</w:t>
            </w:r>
            <w:r>
              <w:br/>
            </w:r>
            <w:r>
              <w:br/>
            </w:r>
            <w:r>
              <w:rPr>
                <w:rStyle w:val="VerbatimChar"/>
              </w:rPr>
              <w:t xml:space="preserve">Skewness: 0.055</w:t>
            </w:r>
            <w:r>
              <w:br/>
            </w:r>
            <w:r>
              <w:rPr>
                <w:rStyle w:val="VerbatimChar"/>
              </w:rPr>
              <w:t xml:space="preserve">Kurtosis: -0.347</w:t>
            </w:r>
          </w:p>
          <w:bookmarkEnd w:id="73"/>
        </w:tc>
      </w:tr>
    </w:tbl>
    <w:p>
      <w:pPr>
        <w:pStyle w:val="Heading2"/>
      </w:pPr>
      <w:r>
        <w:t xml:space="preserve">Box Plot</w:t>
      </w:r>
    </w:p>
    <w:tbl>
      <w:tblPr>
        <w:tblStyle w:val="Table"/>
        <w:tblW w:type="pct" w:w="5000"/>
        <w:tblLayout w:type="fixed"/>
        <w:tblLook w:firstRow="0" w:lastRow="0" w:firstColumn="0" w:lastColumn="0" w:noHBand="0" w:noVBand="0" w:val="0000"/>
      </w:tblPr>
      <w:tblGrid>
        <w:gridCol w:w="7920"/>
      </w:tblGrid>
      <w:tr>
        <w:tc>
          <w:tcPr/>
          <w:bookmarkStart w:id="77" w:name="fig-performance-box"/>
          <w:p>
            <w:pPr>
              <w:pStyle w:val="Compact"/>
              <w:jc w:val="center"/>
            </w:pPr>
            <w:r>
              <w:drawing>
                <wp:inline>
                  <wp:extent cx="5305425" cy="3476625"/>
                  <wp:effectExtent b="0" l="0" r="0" t="0"/>
                  <wp:docPr descr="" title="" id="75" name="Picture"/>
                  <a:graphic>
                    <a:graphicData uri="http://schemas.openxmlformats.org/drawingml/2006/picture">
                      <pic:pic>
                        <pic:nvPicPr>
                          <pic:cNvPr descr="report_files/figure-docx/fig-performance-box-output-1.png" id="76" name="Picture"/>
                          <pic:cNvPicPr>
                            <a:picLocks noChangeArrowheads="1" noChangeAspect="1"/>
                          </pic:cNvPicPr>
                        </pic:nvPicPr>
                        <pic:blipFill>
                          <a:blip r:embed="rId74"/>
                          <a:stretch>
                            <a:fillRect/>
                          </a:stretch>
                        </pic:blipFill>
                        <pic:spPr bwMode="auto">
                          <a:xfrm>
                            <a:off x="0" y="0"/>
                            <a:ext cx="5305425"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 plot showing the five-number summary and outliers</w:t>
            </w:r>
          </w:p>
          <w:bookmarkEnd w:id="77"/>
        </w:tc>
      </w:tr>
    </w:tbl>
    <w:bookmarkStart w:id="80"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hyperlink w:anchor="fig-performance-box">
        <w:r>
          <w:rPr>
            <w:rStyle w:val="Hyperlink"/>
          </w:rPr>
          <w:t xml:space="preserve">Figure 3</w:t>
        </w:r>
      </w:hyperlink>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26"/>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26"/>
              </w:numPr>
            </w:pPr>
            <w:r>
              <w:rPr>
                <w:rStyle w:val="VerbatimChar"/>
              </w:rPr>
              <w:t xml:space="preserve">@fig-correlation-matrix</w:t>
            </w:r>
            <w:r>
              <w:t xml:space="preserve"> </w:t>
            </w:r>
            <w:r>
              <w:t xml:space="preserve">→ As shown in</w:t>
            </w:r>
            <w:r>
              <w:t xml:space="preserve"> </w:t>
            </w:r>
            <w:hyperlink w:anchor="fig-correlation-matrix">
              <w:r>
                <w:rPr>
                  <w:rStyle w:val="Hyperlink"/>
                </w:rPr>
                <w:t xml:space="preserve">Figure 5</w:t>
              </w:r>
            </w:hyperlink>
          </w:p>
          <w:p>
            <w:pPr>
              <w:pStyle w:val="Compact"/>
              <w:numPr>
                <w:ilvl w:val="0"/>
                <w:numId w:val="1026"/>
              </w:numPr>
            </w:pPr>
            <w:r>
              <w:rPr>
                <w:rStyle w:val="VerbatimChar"/>
              </w:rPr>
              <w:t xml:space="preserve">@tbl-anova-test</w:t>
            </w:r>
            <w:r>
              <w:t xml:space="preserve"> </w:t>
            </w:r>
            <w:r>
              <w:t xml:space="preserve">→ The ANOVA results in</w:t>
            </w:r>
            <w:r>
              <w:t xml:space="preserve"> </w:t>
            </w:r>
            <w:hyperlink w:anchor="tbl-anova-test">
              <w:r>
                <w:rPr>
                  <w:rStyle w:val="Hyperlink"/>
                </w:rPr>
                <w:t xml:space="preserve">Table 2</w:t>
              </w:r>
            </w:hyperlink>
          </w:p>
          <w:p>
            <w:pPr>
              <w:pStyle w:val="FirstParagraph"/>
            </w:pPr>
            <w:r>
              <w:rPr>
                <w:b/>
                <w:bCs/>
              </w:rPr>
              <w:t xml:space="preserve">Why reference figures?</w:t>
            </w:r>
          </w:p>
          <w:p>
            <w:pPr>
              <w:pStyle w:val="Compact"/>
              <w:numPr>
                <w:ilvl w:val="0"/>
                <w:numId w:val="1027"/>
              </w:numPr>
            </w:pPr>
            <w:r>
              <w:t xml:space="preserve">Automatic numbering (updates if you reorder)</w:t>
            </w:r>
          </w:p>
          <w:p>
            <w:pPr>
              <w:pStyle w:val="Compact"/>
              <w:numPr>
                <w:ilvl w:val="0"/>
                <w:numId w:val="1027"/>
              </w:numPr>
            </w:pPr>
            <w:r>
              <w:t xml:space="preserve">Clickable links in HTML output</w:t>
            </w:r>
          </w:p>
          <w:p>
            <w:pPr>
              <w:pStyle w:val="Compact"/>
              <w:numPr>
                <w:ilvl w:val="0"/>
                <w:numId w:val="1027"/>
              </w:numPr>
            </w:pPr>
            <w:r>
              <w:t xml:space="preserve">Professional academic writing standard</w:t>
            </w:r>
          </w:p>
          <w:p>
            <w:pPr>
              <w:pStyle w:val="Compact"/>
              <w:numPr>
                <w:ilvl w:val="0"/>
                <w:numId w:val="1027"/>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hyperlink w:anchor="fig-correlation-matrix">
              <w:r>
                <w:rPr>
                  <w:rStyle w:val="Hyperlink"/>
                </w:rPr>
                <w:t xml:space="preserve">Figure 5</w:t>
              </w:r>
            </w:hyperlink>
            <w:r>
              <w:t xml:space="preserve">, there is a strong positive correlation…”</w:t>
            </w:r>
          </w:p>
          <w:p/>
        </w:tc>
      </w:tr>
    </w:tbl>
    <w:p>
      <w:pPr>
        <w:pStyle w:val="BodyText"/>
      </w:pPr>
      <w:r>
        <w:t xml:space="preserve">Now let’s examine how performance varies across different instructors.</w:t>
      </w:r>
    </w:p>
    <w:bookmarkEnd w:id="80"/>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84" w:name="fig-performance-by-instructor"/>
          <w:p>
            <w:pPr>
              <w:pStyle w:val="Compact"/>
              <w:jc w:val="center"/>
            </w:pPr>
            <w:r>
              <w:drawing>
                <wp:inline>
                  <wp:extent cx="5334000" cy="3283009"/>
                  <wp:effectExtent b="0" l="0" r="0" t="0"/>
                  <wp:docPr descr="" title="" id="82" name="Picture"/>
                  <a:graphic>
                    <a:graphicData uri="http://schemas.openxmlformats.org/drawingml/2006/picture">
                      <pic:pic>
                        <pic:nvPicPr>
                          <pic:cNvPr descr="report_files/figure-docx/fig-performance-by-instructor-output-1.png" id="83" name="Picture"/>
                          <pic:cNvPicPr>
                            <a:picLocks noChangeArrowheads="1" noChangeAspect="1"/>
                          </pic:cNvPicPr>
                        </pic:nvPicPr>
                        <pic:blipFill>
                          <a:blip r:embed="rId81"/>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scores grouped by instructor showing variation across instructors</w:t>
            </w:r>
          </w:p>
          <w:bookmarkEnd w:id="84"/>
        </w:tc>
      </w:tr>
    </w:tbl>
    <w:p>
      <w:pPr>
        <w:pStyle w:val="Heading2"/>
      </w:pPr>
      <w:r>
        <w:t xml:space="preserve">Statistical Test</w:t>
      </w:r>
    </w:p>
    <w:tbl>
      <w:tblPr>
        <w:tblStyle w:val="Table"/>
        <w:tblW w:type="pct" w:w="5000"/>
        <w:tblLayout w:type="fixed"/>
        <w:tblLook w:firstRow="0" w:lastRow="0" w:firstColumn="0" w:lastColumn="0" w:noHBand="0" w:noVBand="0" w:val="0000"/>
      </w:tblPr>
      <w:tblGrid>
        <w:gridCol w:w="7920"/>
      </w:tblGrid>
      <w:tr>
        <w:tc>
          <w:tcPr/>
          <w:bookmarkStart w:id="85" w:name="tbl-anova-test"/>
          <w:p>
            <w:pPr>
              <w:jc w:val="center"/>
            </w:pPr>
            <w:pPr>
              <w:jc w:val="left"/>
              <w:spacing w:before="200"/>
              <w:pStyle w:val="ImageCaption"/>
            </w:pPr>
            <w:r>
              <w:t xml:space="preserve">Table 2: ANOVA test results for performance differences across instructors</w:t>
            </w:r>
          </w:p>
          <w:p>
            <w:pPr>
              <w:pStyle w:val="SourceCode"/>
              <w:jc w:val="center"/>
            </w:pPr>
            <w:r>
              <w:br/>
            </w:r>
            <w:r>
              <w:rPr>
                <w:rStyle w:val="VerbatimChar"/>
              </w:rPr>
              <w:t xml:space="preserve">=== ANOVA Test Results ===</w:t>
            </w:r>
            <w:r>
              <w:br/>
            </w:r>
            <w:r>
              <w:rPr>
                <w:rStyle w:val="VerbatimChar"/>
              </w:rPr>
              <w:t xml:space="preserve">F-statistic: 2.2002</w:t>
            </w:r>
            <w:r>
              <w:br/>
            </w:r>
            <w:r>
              <w:rPr>
                <w:rStyle w:val="VerbatimChar"/>
              </w:rPr>
              <w:t xml:space="preserve">P-value: 0.1135</w:t>
            </w:r>
            <w:r>
              <w:br/>
            </w:r>
            <w:r>
              <w:br/>
            </w:r>
            <w:r>
              <w:rPr>
                <w:rStyle w:val="VerbatimChar"/>
              </w:rPr>
              <w:t xml:space="preserve">Interpretation: Not significant difference at α=0.05</w:t>
            </w:r>
            <w:r>
              <w:br/>
            </w:r>
            <w:r>
              <w:br/>
            </w:r>
            <w:r>
              <w:rPr>
                <w:rStyle w:val="VerbatimChar"/>
              </w:rPr>
              <w:t xml:space="preserve">=== Group Means ===</w:t>
            </w:r>
            <w:r>
              <w:br/>
            </w:r>
            <w:r>
              <w:rPr>
                <w:rStyle w:val="VerbatimChar"/>
              </w:rPr>
              <w:t xml:space="preserve">instructor</w:t>
            </w:r>
            <w:r>
              <w:br/>
            </w:r>
            <w:r>
              <w:rPr>
                <w:rStyle w:val="VerbatimChar"/>
              </w:rPr>
              <w:t xml:space="preserve">Ilia    0.905520</w:t>
            </w:r>
            <w:r>
              <w:br/>
            </w:r>
            <w:r>
              <w:rPr>
                <w:rStyle w:val="VerbatimChar"/>
              </w:rPr>
              <w:t xml:space="preserve">Jane    0.906344</w:t>
            </w:r>
            <w:r>
              <w:br/>
            </w:r>
            <w:r>
              <w:rPr>
                <w:rStyle w:val="VerbatimChar"/>
              </w:rPr>
              <w:t xml:space="preserve">John    0.891255</w:t>
            </w:r>
          </w:p>
          <w:bookmarkEnd w:id="85"/>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Quality Requirements</w:t>
            </w:r>
          </w:p>
        </w:tc>
      </w:tr>
      <w:tr>
        <w:trPr>
          <w:cantSplit/>
        </w:trPr>
        <w:tc>
          <w:tcPr>
            <w:tcMar>
              <w:top w:w="108" w:type="dxa"/>
              <w:bottom w:w="108" w:type="dxa"/>
            </w:tcMar>
          </w:tcPr>
          <w:p>
            <w:pPr>
              <w:pStyle w:val="BodyText"/>
            </w:pPr>
            <w:pPr>
              <w:spacing w:before="16"/>
            </w:pPr>
            <w:r>
              <w:t xml:space="preserve">Every plot in your report should have:</w:t>
            </w:r>
          </w:p>
          <w:p>
            <w:pPr>
              <w:pStyle w:val="BodyText"/>
            </w:pPr>
            <w:r>
              <w:t xml:space="preserve">✓</w:t>
            </w:r>
            <w:r>
              <w:t xml:space="preserve"> </w:t>
            </w:r>
            <w:r>
              <w:rPr>
                <w:b/>
                <w:bCs/>
              </w:rPr>
              <w:t xml:space="preserve">Clear title</w:t>
            </w:r>
            <w:r>
              <w:t xml:space="preserve"> </w:t>
            </w:r>
            <w:r>
              <w:t xml:space="preserve">that explains what’s being shown</w:t>
            </w:r>
            <w:r>
              <w:br/>
            </w:r>
            <w:r>
              <w:t xml:space="preserve">✓</w:t>
            </w:r>
            <w:r>
              <w:t xml:space="preserve"> </w:t>
            </w:r>
            <w:r>
              <w:rPr>
                <w:b/>
                <w:bCs/>
              </w:rPr>
              <w:t xml:space="preserve">Labeled axes</w:t>
            </w:r>
            <w:r>
              <w:t xml:space="preserve"> </w:t>
            </w:r>
            <w:r>
              <w:t xml:space="preserve">with units when applicable</w:t>
            </w:r>
            <w:r>
              <w:br/>
            </w:r>
            <w:r>
              <w:t xml:space="preserve">✓</w:t>
            </w:r>
            <w:r>
              <w:t xml:space="preserve"> </w:t>
            </w:r>
            <w:r>
              <w:rPr>
                <w:b/>
                <w:bCs/>
              </w:rPr>
              <w:t xml:space="preserve">Legend</w:t>
            </w:r>
            <w:r>
              <w:t xml:space="preserve"> </w:t>
            </w:r>
            <w:r>
              <w:t xml:space="preserve">if multiple groups/series are shown</w:t>
            </w:r>
            <w:r>
              <w:br/>
            </w:r>
            <w:r>
              <w:t xml:space="preserve">✓</w:t>
            </w:r>
            <w:r>
              <w:t xml:space="preserve"> </w:t>
            </w:r>
            <w:r>
              <w:rPr>
                <w:b/>
                <w:bCs/>
              </w:rPr>
              <w:t xml:space="preserve">Appropriate color scheme</w:t>
            </w:r>
            <w:r>
              <w:t xml:space="preserve"> </w:t>
            </w:r>
            <w:r>
              <w:t xml:space="preserve">(colorblind-friendly)</w:t>
            </w:r>
            <w:r>
              <w:br/>
            </w:r>
            <w:r>
              <w:t xml:space="preserve">✓</w:t>
            </w:r>
            <w:r>
              <w:t xml:space="preserve"> </w:t>
            </w:r>
            <w:r>
              <w:rPr>
                <w:b/>
                <w:bCs/>
              </w:rPr>
              <w:t xml:space="preserve">Proper sizing</w:t>
            </w:r>
            <w:r>
              <w:t xml:space="preserve"> </w:t>
            </w:r>
            <w:r>
              <w:t xml:space="preserve">(readable text, not too small/large)</w:t>
            </w:r>
            <w:r>
              <w:br/>
            </w:r>
            <w:r>
              <w:t xml:space="preserve">✓</w:t>
            </w:r>
            <w:r>
              <w:t xml:space="preserve"> </w:t>
            </w:r>
            <w:r>
              <w:rPr>
                <w:b/>
                <w:bCs/>
              </w:rPr>
              <w:t xml:space="preserve">Figure caption</w:t>
            </w:r>
            <w:r>
              <w:t xml:space="preserve"> </w:t>
            </w:r>
            <w:r>
              <w:t xml:space="preserve">using</w:t>
            </w:r>
            <w:r>
              <w:t xml:space="preserve"> </w:t>
            </w:r>
            <w:r>
              <w:rPr>
                <w:rStyle w:val="VerbatimChar"/>
              </w:rPr>
              <w:t xml:space="preserve">fig-cap</w:t>
            </w:r>
            <w:r>
              <w:t xml:space="preserve"> </w:t>
            </w:r>
            <w:r>
              <w:t xml:space="preserve">option</w:t>
            </w:r>
          </w:p>
          <w:p>
            <w:pPr>
              <w:pStyle w:val="BodyText"/>
            </w:pPr>
            <w:pPr>
              <w:spacing w:after="16"/>
            </w:pPr>
            <w:r>
              <w:rPr>
                <w:b/>
                <w:bCs/>
              </w:rPr>
              <w:t xml:space="preserve">Poor plots = Poor grades!</w:t>
            </w:r>
            <w:r>
              <w:t xml:space="preserve"> </w:t>
            </w:r>
            <w:r>
              <w:t xml:space="preserve">Take time to make your visualizations publication-quality.</w:t>
            </w:r>
          </w:p>
          <w:p/>
        </w:tc>
      </w:tr>
    </w:tbl>
    <w:bookmarkStart w:id="88" w:name="correlation-analysis"/>
    <w:p>
      <w:pPr>
        <w:pStyle w:val="Heading2"/>
      </w:pPr>
      <w:r>
        <w:t xml:space="preserve">Correlation Analysis</w:t>
      </w:r>
    </w:p>
    <w:bookmarkEnd w:id="88"/>
    <w:p>
      <w:pPr>
        <w:pStyle w:val="Heading2"/>
      </w:pPr>
      <w:r>
        <w:t xml:space="preserve">Correlation Heatmap</w:t>
      </w:r>
    </w:p>
    <w:tbl>
      <w:tblPr>
        <w:tblStyle w:val="Table"/>
        <w:tblW w:type="pct" w:w="5000"/>
        <w:tblLayout w:type="fixed"/>
        <w:tblLook w:firstRow="0" w:lastRow="0" w:firstColumn="0" w:lastColumn="0" w:noHBand="0" w:noVBand="0" w:val="0000"/>
      </w:tblPr>
      <w:tblGrid>
        <w:gridCol w:w="7920"/>
      </w:tblGrid>
      <w:tr>
        <w:tc>
          <w:tcPr/>
          <w:bookmarkStart w:id="92" w:name="fig-correlation-matrix"/>
          <w:p>
            <w:pPr>
              <w:pStyle w:val="Compact"/>
              <w:jc w:val="center"/>
            </w:pPr>
            <w:r>
              <w:drawing>
                <wp:inline>
                  <wp:extent cx="5334000" cy="4746000"/>
                  <wp:effectExtent b="0" l="0" r="0" t="0"/>
                  <wp:docPr descr="" title="" id="90" name="Picture"/>
                  <a:graphic>
                    <a:graphicData uri="http://schemas.openxmlformats.org/drawingml/2006/picture">
                      <pic:pic>
                        <pic:nvPicPr>
                          <pic:cNvPr descr="report_files/figure-docx/fig-correlation-matrix-output-1.png" id="91" name="Picture"/>
                          <pic:cNvPicPr>
                            <a:picLocks noChangeArrowheads="1" noChangeAspect="1"/>
                          </pic:cNvPicPr>
                        </pic:nvPicPr>
                        <pic:blipFill>
                          <a:blip r:embed="rId89"/>
                          <a:stretch>
                            <a:fillRect/>
                          </a:stretch>
                        </pic:blipFill>
                        <pic:spPr bwMode="auto">
                          <a:xfrm>
                            <a:off x="0" y="0"/>
                            <a:ext cx="5334000" cy="474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Correlation matrix showing relationships between numeric variables</w:t>
            </w:r>
          </w:p>
          <w:bookmarkEnd w:id="92"/>
        </w:tc>
      </w:tr>
    </w:tbl>
    <w:p>
      <w:pPr>
        <w:pStyle w:val="Heading2"/>
      </w:pPr>
      <w:r>
        <w:t xml:space="preserve">Scatter Plot</w:t>
      </w:r>
    </w:p>
    <w:tbl>
      <w:tblPr>
        <w:tblStyle w:val="Table"/>
        <w:tblW w:type="pct" w:w="5000"/>
        <w:tblLayout w:type="fixed"/>
        <w:tblLook w:firstRow="0" w:lastRow="0" w:firstColumn="0" w:lastColumn="0" w:noHBand="0" w:noVBand="0" w:val="0000"/>
      </w:tblPr>
      <w:tblGrid>
        <w:gridCol w:w="7920"/>
      </w:tblGrid>
      <w:tr>
        <w:tc>
          <w:tcPr/>
          <w:bookmarkStart w:id="96" w:name="fig-scatter-experience-performance"/>
          <w:p>
            <w:pPr>
              <w:pStyle w:val="Compact"/>
              <w:jc w:val="center"/>
            </w:pPr>
            <w:r>
              <w:drawing>
                <wp:inline>
                  <wp:extent cx="5334000" cy="3287398"/>
                  <wp:effectExtent b="0" l="0" r="0" t="0"/>
                  <wp:docPr descr="" title="" id="94" name="Picture"/>
                  <a:graphic>
                    <a:graphicData uri="http://schemas.openxmlformats.org/drawingml/2006/picture">
                      <pic:pic>
                        <pic:nvPicPr>
                          <pic:cNvPr descr="report_files/figure-docx/fig-scatter-experience-performance-output-1.png" id="95" name="Picture"/>
                          <pic:cNvPicPr>
                            <a:picLocks noChangeArrowheads="1" noChangeAspect="1"/>
                          </pic:cNvPicPr>
                        </pic:nvPicPr>
                        <pic:blipFill>
                          <a:blip r:embed="rId93"/>
                          <a:stretch>
                            <a:fillRect/>
                          </a:stretch>
                        </pic:blipFill>
                        <pic:spPr bwMode="auto">
                          <a:xfrm>
                            <a:off x="0" y="0"/>
                            <a:ext cx="5334000" cy="3287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showing positive relationship between experience and performance</w:t>
            </w:r>
          </w:p>
          <w:bookmarkEnd w:id="96"/>
        </w:tc>
      </w:tr>
    </w:tbl>
    <w:bookmarkStart w:id="104" w:name="key-findings"/>
    <w:p>
      <w:pPr>
        <w:pStyle w:val="Heading2"/>
      </w:pPr>
      <w:r>
        <w:t xml:space="preserve">Key Findings</w:t>
      </w:r>
    </w:p>
    <w:p>
      <w:pPr>
        <w:pStyle w:val="FirstParagraph"/>
      </w:pPr>
      <w:r>
        <w:rPr>
          <w:b/>
          <w:bCs/>
        </w:rPr>
        <w:t xml:space="preserve">Remember: Interpretation is more important than the plots themselves!</w:t>
      </w:r>
      <w:r>
        <w:t xml:space="preserve"> </w:t>
      </w:r>
      <w:r>
        <w:t xml:space="preserve">Each finding below not only states</w:t>
      </w:r>
      <w:r>
        <w:t xml:space="preserve"> </w:t>
      </w:r>
      <w:r>
        <w:rPr>
          <w:i/>
          <w:iCs/>
        </w:rPr>
        <w:t xml:space="preserve">what</w:t>
      </w:r>
      <w:r>
        <w:t xml:space="preserve"> </w:t>
      </w:r>
      <w:r>
        <w:t xml:space="preserve">we observe but also</w:t>
      </w:r>
      <w:r>
        <w:t xml:space="preserve"> </w:t>
      </w:r>
      <w:r>
        <w:rPr>
          <w:i/>
          <w:iCs/>
        </w:rPr>
        <w:t xml:space="preserve">why</w:t>
      </w:r>
      <w:r>
        <w:t xml:space="preserve"> </w:t>
      </w:r>
      <w:r>
        <w:t xml:space="preserve">it matters and</w:t>
      </w:r>
      <w:r>
        <w:t xml:space="preserve"> </w:t>
      </w:r>
      <w:r>
        <w:rPr>
          <w:i/>
          <w:iCs/>
        </w:rPr>
        <w:t xml:space="preserve">what</w:t>
      </w:r>
      <w:r>
        <w:t xml:space="preserve"> </w:t>
      </w:r>
      <w:r>
        <w:t xml:space="preserve">it means for our analysis.</w:t>
      </w:r>
    </w:p>
    <w:p>
      <w:pPr>
        <w:pStyle w:val="BodyText"/>
      </w:pPr>
      <w:r>
        <w:t xml:space="preserve">Summarize the main insights from your exploratory analysis.</w:t>
      </w:r>
      <w:r>
        <w:t xml:space="preserve"> </w:t>
      </w:r>
      <w:r>
        <w:rPr>
          <w:b/>
          <w:bCs/>
        </w:rPr>
        <w:t xml:space="preserve">Always reference your figures when discussing findings and provide thorough interpretation!</w:t>
      </w:r>
    </w:p>
    <w:p>
      <w:pPr>
        <w:numPr>
          <w:ilvl w:val="0"/>
          <w:numId w:val="1028"/>
        </w:numPr>
      </w:pPr>
      <w:r>
        <w:rPr>
          <w:b/>
          <w:bCs/>
        </w:rPr>
        <w:t xml:space="preserve">Distribution patterns</w:t>
      </w:r>
      <w:r>
        <w:t xml:space="preserve">: The performance scores shown in</w:t>
      </w:r>
      <w:r>
        <w:t xml:space="preserve"> </w:t>
      </w:r>
      <w:hyperlink w:anchor="fig-performance-dist">
        <w:r>
          <w:rPr>
            <w:rStyle w:val="Hyperlink"/>
          </w:rPr>
          <w:t xml:space="preserve">Figure 2</w:t>
        </w:r>
      </w:hyperlink>
      <w:r>
        <w:t xml:space="preserve"> </w:t>
      </w:r>
      <w:r>
        <w:t xml:space="preserve">follow an approximately normal distribution with a mean of 0.90 and standard deviation of 0.05.</w:t>
      </w:r>
    </w:p>
    <w:p>
      <w:pPr>
        <w:numPr>
          <w:ilvl w:val="0"/>
          <w:numId w:val="1000"/>
        </w:numPr>
      </w:pPr>
      <w:r>
        <w:rPr>
          <w:b/>
          <w:bCs/>
        </w:rPr>
        <w:t xml:space="preserve">Interpretation</w:t>
      </w:r>
      <w:r>
        <w:t xml:space="preserve">: This normal distribution suggests that most students perform around the average, with fewer students at the extremes (very high or very low scores). The relatively small standard deviation indicates consistent performance across the group. This pattern is typical in educational settings and suggests that the assessment was well-calibrated meaning not too easy (which would cause ceiling effects) nor too difficult (which would cause floor effects). The normality assumption also validates the use of parametric statistical tests for subsequent analyses.</w:t>
      </w:r>
    </w:p>
    <w:p>
      <w:pPr>
        <w:numPr>
          <w:ilvl w:val="0"/>
          <w:numId w:val="1028"/>
        </w:numPr>
      </w:pPr>
      <w:r>
        <w:rPr>
          <w:b/>
          <w:bCs/>
        </w:rPr>
        <w:t xml:space="preserve">Outliers and data quality</w:t>
      </w:r>
      <w:r>
        <w:t xml:space="preserve">: The box plot (</w:t>
      </w:r>
      <w:hyperlink w:anchor="fig-performance-box">
        <w:r>
          <w:rPr>
            <w:rStyle w:val="Hyperlink"/>
          </w:rPr>
          <w:t xml:space="preserve">Figure 3</w:t>
        </w:r>
      </w:hyperlink>
      <w:r>
        <w:t xml:space="preserve">) reveals minimal outliers, with only a few observations falling below the lower whisker.</w:t>
      </w:r>
    </w:p>
    <w:p>
      <w:pPr>
        <w:numPr>
          <w:ilvl w:val="0"/>
          <w:numId w:val="1000"/>
        </w:numPr>
      </w:pPr>
      <w:r>
        <w:rPr>
          <w:b/>
          <w:bCs/>
        </w:rPr>
        <w:t xml:space="preserve">Interpretation</w:t>
      </w:r>
      <w:r>
        <w:t xml:space="preserve">: The scarcity of outliers suggests good data quality and consistent measurement. The few low-performing outliers warrant further investigation - they could represent students who faced unusual circumstances or measurement errors. However, their small number means they are unlikely to significantly impact our overall conclusions. This finding gives us confidence in proceeding with the full dataset without extensive outlier removal.</w:t>
      </w:r>
    </w:p>
    <w:p>
      <w:pPr>
        <w:numPr>
          <w:ilvl w:val="0"/>
          <w:numId w:val="1028"/>
        </w:numPr>
      </w:pPr>
      <w:r>
        <w:rPr>
          <w:b/>
          <w:bCs/>
        </w:rPr>
        <w:t xml:space="preserve">Group differences</w:t>
      </w:r>
      <w:r>
        <w:t xml:space="preserve">:</w:t>
      </w:r>
      <w:r>
        <w:t xml:space="preserve"> </w:t>
      </w:r>
      <w:hyperlink w:anchor="fig-performance-by-instructor">
        <w:r>
          <w:rPr>
            <w:rStyle w:val="Hyperlink"/>
          </w:rPr>
          <w:t xml:space="preserve">Figure 4</w:t>
        </w:r>
      </w:hyperlink>
      <w:r>
        <w:t xml:space="preserve"> </w:t>
      </w:r>
      <w:r>
        <w:t xml:space="preserve">demonstrates noticeable variation in performance across different instructors, with some instructors showing higher median scores than others. The ANOVA test (</w:t>
      </w:r>
      <w:hyperlink w:anchor="tbl-anova-test">
        <w:r>
          <w:rPr>
            <w:rStyle w:val="Hyperlink"/>
          </w:rPr>
          <w:t xml:space="preserve">Table 2</w:t>
        </w:r>
      </w:hyperlink>
      <w:r>
        <w:t xml:space="preserve">) confirms these differences are not statistically significant (p ≥ 0.05).</w:t>
      </w:r>
    </w:p>
    <w:p>
      <w:pPr>
        <w:numPr>
          <w:ilvl w:val="0"/>
          <w:numId w:val="1000"/>
        </w:numPr>
      </w:pPr>
      <w:r>
        <w:rPr>
          <w:b/>
          <w:bCs/>
        </w:rPr>
        <w:t xml:space="preserve">Interpretation</w:t>
      </w:r>
      <w:r>
        <w:t xml:space="preserve">: The lack of significant differences suggests that instructor assignment does not substantially impact performance, or that grading standards are well-harmonized across sections. It also indicates that comparing students across different sections requires careful consideration. From a policy perspective, this might warrant investigating whether certain teaching methods are more effective or whether grading standards need to be harmonized across sections.</w:t>
      </w:r>
    </w:p>
    <w:p>
      <w:pPr>
        <w:numPr>
          <w:ilvl w:val="0"/>
          <w:numId w:val="1028"/>
        </w:numPr>
      </w:pPr>
      <w:r>
        <w:rPr>
          <w:b/>
          <w:bCs/>
        </w:rPr>
        <w:t xml:space="preserve">Relationships</w:t>
      </w:r>
      <w:r>
        <w:t xml:space="preserve">: The correlation matrix (</w:t>
      </w:r>
      <w:hyperlink w:anchor="fig-correlation-matrix">
        <w:r>
          <w:rPr>
            <w:rStyle w:val="Hyperlink"/>
          </w:rPr>
          <w:t xml:space="preserve">Figure 5</w:t>
        </w:r>
      </w:hyperlink>
      <w:r>
        <w:t xml:space="preserve">) reveals several interesting patterns:</w:t>
      </w:r>
    </w:p>
    <w:p>
      <w:pPr>
        <w:pStyle w:val="Compact"/>
        <w:numPr>
          <w:ilvl w:val="1"/>
          <w:numId w:val="1029"/>
        </w:numPr>
      </w:pPr>
      <w:r>
        <w:t xml:space="preserve">Strong positive correlation (r = 0.87) between Experience and Salary</w:t>
      </w:r>
    </w:p>
    <w:p>
      <w:pPr>
        <w:pStyle w:val="Compact"/>
        <w:numPr>
          <w:ilvl w:val="1"/>
          <w:numId w:val="1029"/>
        </w:numPr>
      </w:pPr>
      <w:r>
        <w:t xml:space="preserve">Moderate positive correlation (r = 0.70) between Experience and Performance</w:t>
      </w:r>
    </w:p>
    <w:p>
      <w:pPr>
        <w:pStyle w:val="Compact"/>
        <w:numPr>
          <w:ilvl w:val="1"/>
          <w:numId w:val="1029"/>
        </w:numPr>
      </w:pPr>
      <w:r>
        <w:t xml:space="preserve">Weak correlation (r = -0.04) between Age and Performance</w:t>
      </w:r>
    </w:p>
    <w:p>
      <w:pPr>
        <w:numPr>
          <w:ilvl w:val="0"/>
          <w:numId w:val="1000"/>
        </w:numPr>
      </w:pPr>
      <w:r>
        <w:rPr>
          <w:b/>
          <w:bCs/>
        </w:rPr>
        <w:t xml:space="preserve">Interpretation</w:t>
      </w:r>
      <w:r>
        <w:t xml:space="preserve">: The Experience-Salary correlation aligns with economic theory that experience is rewarded in labor markets. The Experience-Performance correlation suggests that experience contributes to better performance, though other factors clearly matter as well. Interestingly, Age shows minimal correlation with Performance, suggesting that chronological age alone doesn’t predict success - what matters is relevant experience. These patterns will guide our variable selection for predictive modeling, favoring Experience over Age as a key predictor.</w:t>
      </w:r>
    </w:p>
    <w:p>
      <w:pPr>
        <w:numPr>
          <w:ilvl w:val="0"/>
          <w:numId w:val="1028"/>
        </w:numPr>
      </w:pPr>
      <w:r>
        <w:rPr>
          <w:b/>
          <w:bCs/>
        </w:rPr>
        <w:t xml:space="preserve">Experience-Performance relationship</w:t>
      </w:r>
      <w:r>
        <w:t xml:space="preserve">:</w:t>
      </w:r>
      <w:r>
        <w:t xml:space="preserve"> </w:t>
      </w:r>
      <w:hyperlink w:anchor="fig-scatter-experience-performance">
        <w:r>
          <w:rPr>
            <w:rStyle w:val="Hyperlink"/>
          </w:rPr>
          <w:t xml:space="preserve">Figure 6</w:t>
        </w:r>
      </w:hyperlink>
      <w:r>
        <w:t xml:space="preserve"> </w:t>
      </w:r>
      <w:r>
        <w:t xml:space="preserve">clearly shows a positive linear relationship, with more experienced individuals tending to have higher performance scores. The correlation coefficient is 0.70.</w:t>
      </w:r>
    </w:p>
    <w:p>
      <w:pPr>
        <w:numPr>
          <w:ilvl w:val="0"/>
          <w:numId w:val="1000"/>
        </w:numPr>
      </w:pPr>
      <w:r>
        <w:rPr>
          <w:b/>
          <w:bCs/>
        </w:rPr>
        <w:t xml:space="preserve">Interpretation</w:t>
      </w:r>
      <w:r>
        <w:t xml:space="preserve">: The linear relationship visible in the scatter plot confirms that experience has a consistent, positive effect on performance. However, the substantial scatter around the regression line indicates that experience alone doesn’t determine performance - individual differences and other factors play important roles. This suggests that while experience is valuable, organizations shouldn’t rely solely on it when making hiring or promotion decisions.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warning.png" id="99" name="Picture"/>
                          <pic:cNvPicPr>
                            <a:picLocks noChangeArrowheads="1" noChangeAspect="1"/>
                          </pic:cNvPicPr>
                        </pic:nvPicPr>
                        <pic:blipFill>
                          <a:blip r:embed="rId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Mistakes in Interpretation</w:t>
            </w:r>
          </w:p>
        </w:tc>
      </w:tr>
      <w:tr>
        <w:trPr>
          <w:cantSplit/>
        </w:trPr>
        <w:tc>
          <w:tcPr>
            <w:tcMar>
              <w:top w:w="108" w:type="dxa"/>
              <w:bottom w:w="108" w:type="dxa"/>
            </w:tcMar>
          </w:tcPr>
          <w:p>
            <w:pPr>
              <w:pStyle w:val="BodyText"/>
            </w:pPr>
            <w:pPr>
              <w:spacing w:before="16"/>
            </w:pPr>
            <w:r>
              <w:rPr>
                <w:b/>
                <w:bCs/>
              </w:rPr>
              <w:t xml:space="preserve">Observation (not interpretation):</w:t>
            </w:r>
            <w:r>
              <w:t xml:space="preserve"> </w:t>
            </w:r>
            <w:r>
              <w:t xml:space="preserve">“The histogram shows a normal distribution.”</w:t>
            </w:r>
            <w:r>
              <w:br/>
            </w:r>
            <w:r>
              <w:rPr>
                <w:b/>
                <w:bCs/>
              </w:rPr>
              <w:t xml:space="preserve">Why it’s insufficient:</w:t>
            </w:r>
            <w:r>
              <w:t xml:space="preserve"> </w:t>
            </w:r>
            <w:r>
              <w:t xml:space="preserve">This only describes what you see - it’s an observation, not an interpretation. You need to explain what it</w:t>
            </w:r>
            <w:r>
              <w:t xml:space="preserve"> </w:t>
            </w:r>
            <w:r>
              <w:rPr>
                <w:i/>
                <w:iCs/>
              </w:rPr>
              <w:t xml:space="preserve">means</w:t>
            </w:r>
            <w:r>
              <w:t xml:space="preserve"> </w:t>
            </w:r>
            <w:r>
              <w:t xml:space="preserve">and</w:t>
            </w:r>
            <w:r>
              <w:t xml:space="preserve"> </w:t>
            </w:r>
            <w:r>
              <w:rPr>
                <w:i/>
                <w:iCs/>
              </w:rPr>
              <w:t xml:space="preserve">why it matters</w:t>
            </w:r>
            <w:r>
              <w:t xml:space="preserve">.</w:t>
            </w:r>
          </w:p>
          <w:p>
            <w:pPr>
              <w:pStyle w:val="BodyText"/>
            </w:pPr>
            <w:r>
              <w:rPr>
                <w:b/>
                <w:bCs/>
              </w:rPr>
              <w:t xml:space="preserve">Good interpretation (observation + story):</w:t>
            </w:r>
            <w:r>
              <w:t xml:space="preserve"> </w:t>
            </w:r>
            <w:r>
              <w:t xml:space="preserve">“The histogram shows a normal distribution (mean = 0.90, sd = 0.05), which indicates consistent performance across students. This pattern validates the use of parametric statistical tests in our subsequent analysis. The tight distribution suggests the assessment was well-calibrated, effectively distinguishing between ability levels without ceiling or floor effects that would compress scores.”</w:t>
            </w:r>
          </w:p>
          <w:p>
            <w:pPr>
              <w:pStyle w:val="BodyText"/>
            </w:pPr>
            <w:r>
              <w:rPr>
                <w:b/>
                <w:bCs/>
              </w:rPr>
              <w:t xml:space="preserve">Remember:</w:t>
            </w:r>
          </w:p>
          <w:p>
            <w:pPr>
              <w:pStyle w:val="Compact"/>
              <w:numPr>
                <w:ilvl w:val="0"/>
                <w:numId w:val="1030"/>
              </w:numPr>
            </w:pPr>
            <w:r>
              <w:rPr>
                <w:b/>
                <w:bCs/>
              </w:rPr>
              <w:t xml:space="preserve">Observation</w:t>
            </w:r>
            <w:r>
              <w:t xml:space="preserve"> </w:t>
            </w:r>
            <w:r>
              <w:t xml:space="preserve">= What you see in the data/plot</w:t>
            </w:r>
          </w:p>
          <w:p>
            <w:pPr>
              <w:pStyle w:val="Compact"/>
              <w:numPr>
                <w:ilvl w:val="0"/>
                <w:numId w:val="1030"/>
              </w:numPr>
            </w:pPr>
            <w:r>
              <w:rPr>
                <w:b/>
                <w:bCs/>
              </w:rPr>
              <w:t xml:space="preserve">Interpretation</w:t>
            </w:r>
            <w:r>
              <w:t xml:space="preserve"> </w:t>
            </w:r>
            <w:r>
              <w:t xml:space="preserve">= The story behind it - what it means, why it matters, what implications it has</w:t>
            </w:r>
          </w:p>
          <w:p>
            <w:pPr>
              <w:pStyle w:val="Compact"/>
              <w:numPr>
                <w:ilvl w:val="0"/>
                <w:numId w:val="1030"/>
              </w:numPr>
            </w:pPr>
            <w:r>
              <w:rPr>
                <w:b/>
                <w:bCs/>
              </w:rPr>
              <w:t xml:space="preserve">Always do both!</w:t>
            </w:r>
            <w:r>
              <w:t xml:space="preserve"> </w:t>
            </w:r>
            <w:r>
              <w:t xml:space="preserve">State the observation, then interpret its significance.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warning.png" id="101" name="Picture"/>
                          <pic:cNvPicPr>
                            <a:picLocks noChangeArrowheads="1" noChangeAspect="1"/>
                          </pic:cNvPicPr>
                        </pic:nvPicPr>
                        <pic:blipFill>
                          <a:blip r:embed="rId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Not Referencing Figures</w:t>
            </w:r>
          </w:p>
        </w:tc>
      </w:tr>
      <w:tr>
        <w:trPr>
          <w:cantSplit/>
        </w:trPr>
        <w:tc>
          <w:tcPr>
            <w:tcMar>
              <w:top w:w="108" w:type="dxa"/>
              <w:bottom w:w="108" w:type="dxa"/>
            </w:tcMar>
          </w:tcPr>
          <w:p>
            <w:pPr>
              <w:pStyle w:val="BodyText"/>
            </w:pPr>
            <w:pPr>
              <w:spacing w:before="16"/>
            </w:pPr>
            <w:r>
              <w:rPr>
                <w:b/>
                <w:bCs/>
              </w:rPr>
              <w:t xml:space="preserve">Bad:</w:t>
            </w:r>
            <w:r>
              <w:t xml:space="preserve"> </w:t>
            </w:r>
            <w:r>
              <w:t xml:space="preserve">“The histogram shows a normal distribution.”</w:t>
            </w:r>
            <w:r>
              <w:br/>
            </w:r>
            <w:r>
              <w:rPr>
                <w:b/>
                <w:bCs/>
              </w:rPr>
              <w:t xml:space="preserve">Good:</w:t>
            </w:r>
            <w:r>
              <w:t xml:space="preserve"> </w:t>
            </w:r>
            <w:r>
              <w:t xml:space="preserve">“As shown in</w:t>
            </w:r>
            <w:r>
              <w:t xml:space="preserve"> </w:t>
            </w:r>
            <w:hyperlink w:anchor="fig-performance-dist">
              <w:r>
                <w:rPr>
                  <w:rStyle w:val="Hyperlink"/>
                </w:rPr>
                <w:t xml:space="preserve">Figure 2</w:t>
              </w:r>
            </w:hyperlink>
            <w:r>
              <w:t xml:space="preserve">, the histogram reveals a normal distribution.”</w:t>
            </w:r>
          </w:p>
          <w:p>
            <w:pPr>
              <w:pStyle w:val="BodyText"/>
            </w:pPr>
            <w:r>
              <w:rPr>
                <w:b/>
                <w:bCs/>
              </w:rPr>
              <w:t xml:space="preserve">Why?</w:t>
            </w:r>
          </w:p>
          <w:p>
            <w:pPr>
              <w:pStyle w:val="Compact"/>
              <w:numPr>
                <w:ilvl w:val="0"/>
                <w:numId w:val="1031"/>
              </w:numPr>
            </w:pPr>
            <w:r>
              <w:t xml:space="preserve">Helps readers locate the relevant visualization</w:t>
            </w:r>
          </w:p>
          <w:p>
            <w:pPr>
              <w:pStyle w:val="Compact"/>
              <w:numPr>
                <w:ilvl w:val="0"/>
                <w:numId w:val="1031"/>
              </w:numPr>
            </w:pPr>
            <w:r>
              <w:t xml:space="preserve">Creates professional, academic-style writing</w:t>
            </w:r>
          </w:p>
          <w:p>
            <w:pPr>
              <w:pStyle w:val="Compact"/>
              <w:numPr>
                <w:ilvl w:val="0"/>
                <w:numId w:val="1031"/>
              </w:numPr>
            </w:pPr>
            <w:r>
              <w:t xml:space="preserve">Enables automatic figure numbering and links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EDA to Analysis</w:t>
            </w:r>
          </w:p>
        </w:tc>
      </w:tr>
      <w:tr>
        <w:trPr>
          <w:cantSplit/>
        </w:trPr>
        <w:tc>
          <w:tcPr>
            <w:tcMar>
              <w:top w:w="108" w:type="dxa"/>
              <w:bottom w:w="108" w:type="dxa"/>
            </w:tcMar>
          </w:tcPr>
          <w:p>
            <w:pPr>
              <w:pStyle w:val="BodyText"/>
            </w:pPr>
            <w:pPr>
              <w:spacing w:before="16"/>
            </w:pPr>
            <w:r>
              <w:t xml:space="preserve">Use your EDA findings to:</w:t>
            </w:r>
          </w:p>
          <w:p>
            <w:pPr>
              <w:pStyle w:val="Compact"/>
              <w:numPr>
                <w:ilvl w:val="0"/>
                <w:numId w:val="1032"/>
              </w:numPr>
            </w:pPr>
            <w:r>
              <w:rPr>
                <w:b/>
                <w:bCs/>
              </w:rPr>
              <w:t xml:space="preserve">Refine research questions</w:t>
            </w:r>
            <w:r>
              <w:t xml:space="preserve"> </w:t>
            </w:r>
            <w:r>
              <w:t xml:space="preserve">based on observed patterns</w:t>
            </w:r>
          </w:p>
          <w:p>
            <w:pPr>
              <w:pStyle w:val="Compact"/>
              <w:numPr>
                <w:ilvl w:val="0"/>
                <w:numId w:val="1032"/>
              </w:numPr>
            </w:pPr>
            <w:r>
              <w:rPr>
                <w:b/>
                <w:bCs/>
              </w:rPr>
              <w:t xml:space="preserve">Select appropriate statistical methods</w:t>
            </w:r>
            <w:r>
              <w:t xml:space="preserve"> </w:t>
            </w:r>
            <w:r>
              <w:t xml:space="preserve">based on data distributions</w:t>
            </w:r>
          </w:p>
          <w:p>
            <w:pPr>
              <w:pStyle w:val="Compact"/>
              <w:numPr>
                <w:ilvl w:val="0"/>
                <w:numId w:val="1032"/>
              </w:numPr>
            </w:pPr>
            <w:r>
              <w:rPr>
                <w:b/>
                <w:bCs/>
              </w:rPr>
              <w:t xml:space="preserve">Identify variables</w:t>
            </w:r>
            <w:r>
              <w:t xml:space="preserve"> </w:t>
            </w:r>
            <w:r>
              <w:t xml:space="preserve">for inclusion in models</w:t>
            </w:r>
          </w:p>
          <w:p>
            <w:pPr>
              <w:pStyle w:val="Compact"/>
              <w:numPr>
                <w:ilvl w:val="0"/>
                <w:numId w:val="1032"/>
              </w:numPr>
            </w:pPr>
            <w:r>
              <w:rPr>
                <w:b/>
                <w:bCs/>
              </w:rPr>
              <w:t xml:space="preserve">Justify transformations</w:t>
            </w:r>
            <w:r>
              <w:t xml:space="preserve"> </w:t>
            </w:r>
            <w:r>
              <w:t xml:space="preserve">(e.g., log transform for skewed data)</w:t>
            </w:r>
          </w:p>
          <w:p>
            <w:pPr>
              <w:pStyle w:val="Compact"/>
              <w:numPr>
                <w:ilvl w:val="0"/>
                <w:numId w:val="1032"/>
              </w:numPr>
            </w:pPr>
            <w:r>
              <w:rPr>
                <w:b/>
                <w:bCs/>
              </w:rPr>
              <w:t xml:space="preserve">Set expectations</w:t>
            </w:r>
            <w:r>
              <w:t xml:space="preserve"> </w:t>
            </w:r>
            <w:r>
              <w:t xml:space="preserve">for what you might find in formal analysis</w:t>
            </w:r>
          </w:p>
          <w:p/>
        </w:tc>
      </w:tr>
    </w:tbl>
    <w:bookmarkEnd w:id="104"/>
    <w:bookmarkEnd w:id="105"/>
    <w:bookmarkStart w:id="110"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quarto/share/formats/docx/note.png" id="10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33"/>
              </w:numPr>
            </w:pPr>
            <w:r>
              <w:t xml:space="preserve">Apply statistical models (linear regression, logistic regression, etc.)</w:t>
            </w:r>
          </w:p>
          <w:p>
            <w:pPr>
              <w:pStyle w:val="Compact"/>
              <w:numPr>
                <w:ilvl w:val="0"/>
                <w:numId w:val="1033"/>
              </w:numPr>
            </w:pPr>
            <w:r>
              <w:t xml:space="preserve">Perform hypothesis testing</w:t>
            </w:r>
          </w:p>
          <w:p>
            <w:pPr>
              <w:pStyle w:val="Compact"/>
              <w:numPr>
                <w:ilvl w:val="0"/>
                <w:numId w:val="1033"/>
              </w:numPr>
            </w:pPr>
            <w:r>
              <w:t xml:space="preserve">Use machine learning algorithms</w:t>
            </w:r>
          </w:p>
          <w:p>
            <w:pPr>
              <w:pStyle w:val="Compact"/>
              <w:numPr>
                <w:ilvl w:val="0"/>
                <w:numId w:val="1033"/>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34"/>
        </w:numPr>
      </w:pPr>
      <w:r>
        <w:rPr>
          <w:b/>
          <w:bCs/>
        </w:rPr>
        <w:t xml:space="preserve">Why</w:t>
      </w:r>
      <w:r>
        <w:t xml:space="preserve"> </w:t>
      </w:r>
      <w:r>
        <w:t xml:space="preserve">did you choose this particular method?</w:t>
      </w:r>
    </w:p>
    <w:p>
      <w:pPr>
        <w:pStyle w:val="Compact"/>
        <w:numPr>
          <w:ilvl w:val="0"/>
          <w:numId w:val="1034"/>
        </w:numPr>
      </w:pPr>
      <w:r>
        <w:rPr>
          <w:b/>
          <w:bCs/>
        </w:rPr>
        <w:t xml:space="preserve">What</w:t>
      </w:r>
      <w:r>
        <w:t xml:space="preserve"> </w:t>
      </w:r>
      <w:r>
        <w:t xml:space="preserve">assumptions does it make, and do your data meet them?</w:t>
      </w:r>
    </w:p>
    <w:p>
      <w:pPr>
        <w:pStyle w:val="Compact"/>
        <w:numPr>
          <w:ilvl w:val="0"/>
          <w:numId w:val="1034"/>
        </w:numPr>
      </w:pPr>
      <w:r>
        <w:rPr>
          <w:b/>
          <w:bCs/>
        </w:rPr>
        <w:t xml:space="preserve">How</w:t>
      </w:r>
      <w:r>
        <w:t xml:space="preserve"> </w:t>
      </w:r>
      <w:r>
        <w:t xml:space="preserve">does this method help answer your research questions?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important.png" id="10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110"/>
    <w:bookmarkStart w:id="113"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35"/>
              </w:numPr>
            </w:pPr>
            <w:r>
              <w:rPr>
                <w:b/>
                <w:bCs/>
              </w:rPr>
              <w:t xml:space="preserve">States the finding</w:t>
            </w:r>
            <w:r>
              <w:t xml:space="preserve"> </w:t>
            </w:r>
            <w:r>
              <w:t xml:space="preserve">clearly (reference tables/figures)</w:t>
            </w:r>
          </w:p>
          <w:p>
            <w:pPr>
              <w:pStyle w:val="Compact"/>
              <w:numPr>
                <w:ilvl w:val="0"/>
                <w:numId w:val="1035"/>
              </w:numPr>
            </w:pPr>
            <w:r>
              <w:rPr>
                <w:b/>
                <w:bCs/>
              </w:rPr>
              <w:t xml:space="preserve">Interprets the result</w:t>
            </w:r>
            <w:r>
              <w:t xml:space="preserve"> </w:t>
            </w:r>
            <w:r>
              <w:t xml:space="preserve">(what does it mean?)</w:t>
            </w:r>
          </w:p>
          <w:p>
            <w:pPr>
              <w:pStyle w:val="Compact"/>
              <w:numPr>
                <w:ilvl w:val="0"/>
                <w:numId w:val="1035"/>
              </w:numPr>
            </w:pPr>
            <w:r>
              <w:rPr>
                <w:b/>
                <w:bCs/>
              </w:rPr>
              <w:t xml:space="preserve">Connects to research questions</w:t>
            </w:r>
            <w:r>
              <w:t xml:space="preserve"> </w:t>
            </w:r>
            <w:r>
              <w:t xml:space="preserve">(how does it answer your questions?)</w:t>
            </w:r>
          </w:p>
          <w:p>
            <w:pPr>
              <w:pStyle w:val="Compact"/>
              <w:numPr>
                <w:ilvl w:val="0"/>
                <w:numId w:val="1035"/>
              </w:numPr>
            </w:pPr>
            <w:r>
              <w:rPr>
                <w:b/>
                <w:bCs/>
              </w:rPr>
              <w:t xml:space="preserve">Relates to domain knowledge</w:t>
            </w:r>
            <w:r>
              <w:t xml:space="preserve"> </w:t>
            </w:r>
            <w:r>
              <w:t xml:space="preserve">(does it align with theory or prior research?)</w:t>
            </w:r>
          </w:p>
          <w:p>
            <w:pPr>
              <w:pStyle w:val="Compact"/>
              <w:numPr>
                <w:ilvl w:val="0"/>
                <w:numId w:val="1035"/>
              </w:numPr>
            </w:pPr>
            <w:r>
              <w:rPr>
                <w:b/>
                <w:bCs/>
              </w:rPr>
              <w:t xml:space="preserve">Acknowledges limitations</w:t>
            </w:r>
            <w:r>
              <w:t xml:space="preserve"> </w:t>
            </w:r>
            <w:r>
              <w:t xml:space="preserve">(what are the caveats?)</w:t>
            </w:r>
          </w:p>
          <w:p>
            <w:pPr>
              <w:pStyle w:val="Compact"/>
              <w:numPr>
                <w:ilvl w:val="0"/>
                <w:numId w:val="1035"/>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113"/>
    <w:bookmarkStart w:id="125"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36"/>
              </w:numPr>
            </w:pPr>
            <w:r>
              <w:rPr>
                <w:b/>
                <w:bCs/>
              </w:rPr>
              <w:t xml:space="preserve">Summary</w:t>
            </w:r>
            <w:r>
              <w:t xml:space="preserve">: Recap your project goals, approach, and main findings</w:t>
            </w:r>
          </w:p>
          <w:p>
            <w:pPr>
              <w:pStyle w:val="Compact"/>
              <w:numPr>
                <w:ilvl w:val="0"/>
                <w:numId w:val="1036"/>
              </w:numPr>
            </w:pPr>
            <w:r>
              <w:rPr>
                <w:b/>
                <w:bCs/>
              </w:rPr>
              <w:t xml:space="preserve">Limitations</w:t>
            </w:r>
            <w:r>
              <w:t xml:space="preserve">: Honestly discuss constraints and potential weaknesses</w:t>
            </w:r>
          </w:p>
          <w:p>
            <w:pPr>
              <w:pStyle w:val="Compact"/>
              <w:numPr>
                <w:ilvl w:val="0"/>
                <w:numId w:val="1036"/>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118"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37"/>
        </w:numPr>
      </w:pPr>
      <w:r>
        <w:t xml:space="preserve">Restate your research questions briefly</w:t>
      </w:r>
    </w:p>
    <w:p>
      <w:pPr>
        <w:pStyle w:val="Compact"/>
        <w:numPr>
          <w:ilvl w:val="0"/>
          <w:numId w:val="1037"/>
        </w:numPr>
      </w:pPr>
      <w:r>
        <w:t xml:space="preserve">Summarize your approach (data, methods)</w:t>
      </w:r>
    </w:p>
    <w:p>
      <w:pPr>
        <w:pStyle w:val="Compact"/>
        <w:numPr>
          <w:ilvl w:val="0"/>
          <w:numId w:val="1037"/>
        </w:numPr>
      </w:pPr>
      <w:r>
        <w:t xml:space="preserve">Highlight 3-5 main findings with their implications</w:t>
      </w:r>
    </w:p>
    <w:p>
      <w:pPr>
        <w:pStyle w:val="Compact"/>
        <w:numPr>
          <w:ilvl w:val="0"/>
          <w:numId w:val="1037"/>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warning.png" id="117" name="Picture"/>
                          <pic:cNvPicPr>
                            <a:picLocks noChangeArrowheads="1" noChangeAspect="1"/>
                          </pic:cNvPicPr>
                        </pic:nvPicPr>
                        <pic:blipFill>
                          <a:blip r:embed="rId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118"/>
    <w:bookmarkStart w:id="121"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38"/>
        </w:numPr>
      </w:pPr>
      <w:r>
        <w:rPr>
          <w:b/>
          <w:bCs/>
        </w:rPr>
        <w:t xml:space="preserve">Data limitations</w:t>
      </w:r>
      <w:r>
        <w:t xml:space="preserve">: Sample size, missing data, measurement issues, lack of certain variables</w:t>
      </w:r>
    </w:p>
    <w:p>
      <w:pPr>
        <w:pStyle w:val="Compact"/>
        <w:numPr>
          <w:ilvl w:val="0"/>
          <w:numId w:val="1038"/>
        </w:numPr>
      </w:pPr>
      <w:r>
        <w:rPr>
          <w:b/>
          <w:bCs/>
        </w:rPr>
        <w:t xml:space="preserve">Methodological limitations</w:t>
      </w:r>
      <w:r>
        <w:t xml:space="preserve">: Simplifying assumptions, choice of methods, inability to establish causation</w:t>
      </w:r>
    </w:p>
    <w:p>
      <w:pPr>
        <w:pStyle w:val="Compact"/>
        <w:numPr>
          <w:ilvl w:val="0"/>
          <w:numId w:val="1038"/>
        </w:numPr>
      </w:pPr>
      <w:r>
        <w:rPr>
          <w:b/>
          <w:bCs/>
        </w:rPr>
        <w:t xml:space="preserve">Scope limitations</w:t>
      </w:r>
      <w:r>
        <w:t xml:space="preserve">: Time constraints, focus on specific aspects only</w:t>
      </w:r>
    </w:p>
    <w:p>
      <w:pPr>
        <w:pStyle w:val="Compact"/>
        <w:numPr>
          <w:ilvl w:val="0"/>
          <w:numId w:val="1038"/>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quarto/share/formats/docx/important.png" id="12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39"/>
              </w:numPr>
            </w:pPr>
            <w:r>
              <w:rPr>
                <w:b/>
                <w:bCs/>
              </w:rPr>
              <w:t xml:space="preserve">Critical thinking</w:t>
            </w:r>
            <w:r>
              <w:t xml:space="preserve">: You understand the boundaries of your analysis</w:t>
            </w:r>
          </w:p>
          <w:p>
            <w:pPr>
              <w:pStyle w:val="Compact"/>
              <w:numPr>
                <w:ilvl w:val="0"/>
                <w:numId w:val="1039"/>
              </w:numPr>
            </w:pPr>
            <w:r>
              <w:rPr>
                <w:b/>
                <w:bCs/>
              </w:rPr>
              <w:t xml:space="preserve">Scientific integrity</w:t>
            </w:r>
            <w:r>
              <w:t xml:space="preserve">: You’re honest about what your study can and cannot show</w:t>
            </w:r>
          </w:p>
          <w:p>
            <w:pPr>
              <w:pStyle w:val="Compact"/>
              <w:numPr>
                <w:ilvl w:val="0"/>
                <w:numId w:val="1039"/>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121"/>
    <w:bookmarkStart w:id="124"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40"/>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40"/>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40"/>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40"/>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41"/>
        </w:numPr>
      </w:pPr>
      <w:r>
        <w:t xml:space="preserve">❌</w:t>
      </w:r>
      <w:r>
        <w:t xml:space="preserve"> </w:t>
      </w:r>
      <w:r>
        <w:t xml:space="preserve">“Get more data”</w:t>
      </w:r>
    </w:p>
    <w:p>
      <w:pPr>
        <w:pStyle w:val="Compact"/>
        <w:numPr>
          <w:ilvl w:val="0"/>
          <w:numId w:val="1041"/>
        </w:numPr>
      </w:pPr>
      <w:r>
        <w:t xml:space="preserve">❌</w:t>
      </w:r>
      <w:r>
        <w:t xml:space="preserve"> </w:t>
      </w:r>
      <w:r>
        <w:t xml:space="preserve">“Use more variables”</w:t>
      </w:r>
    </w:p>
    <w:p>
      <w:pPr>
        <w:pStyle w:val="Compact"/>
        <w:numPr>
          <w:ilvl w:val="0"/>
          <w:numId w:val="1041"/>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42"/>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43"/>
              </w:numPr>
            </w:pPr>
            <w:r>
              <w:t xml:space="preserve">Circles back to your introduction (research questions)</w:t>
            </w:r>
          </w:p>
          <w:p>
            <w:pPr>
              <w:pStyle w:val="Compact"/>
              <w:numPr>
                <w:ilvl w:val="0"/>
                <w:numId w:val="1043"/>
              </w:numPr>
            </w:pPr>
            <w:r>
              <w:t xml:space="preserve">Synthesizes your findings from EDA and analysis</w:t>
            </w:r>
          </w:p>
          <w:p>
            <w:pPr>
              <w:pStyle w:val="Compact"/>
              <w:numPr>
                <w:ilvl w:val="0"/>
                <w:numId w:val="1043"/>
              </w:numPr>
            </w:pPr>
            <w:r>
              <w:t xml:space="preserve">Demonstrates you’ve thought deeply about your project</w:t>
            </w:r>
          </w:p>
          <w:p>
            <w:pPr>
              <w:pStyle w:val="Compact"/>
              <w:numPr>
                <w:ilvl w:val="0"/>
                <w:numId w:val="1043"/>
              </w:numPr>
            </w:pPr>
            <w:r>
              <w:t xml:space="preserve">Leaves readers with clear takeaways</w:t>
            </w:r>
          </w:p>
          <w:p>
            <w:pPr>
              <w:pStyle w:val="FirstParagraph"/>
            </w:pPr>
            <w:pPr>
              <w:spacing w:after="16"/>
            </w:pPr>
            <w:r>
              <w:rPr>
                <w:b/>
                <w:bCs/>
              </w:rPr>
              <w:t xml:space="preserve">A strong conclusion elevates your entire report!</w:t>
            </w:r>
          </w:p>
          <w:p/>
        </w:tc>
      </w:tr>
    </w:tbl>
    <w:bookmarkEnd w:id="124"/>
    <w:bookmarkEnd w:id="125"/>
    <w:bookmarkStart w:id="131" w:name="references"/>
    <w:p>
      <w:pPr>
        <w:pStyle w:val="Heading1"/>
      </w:pPr>
      <w:r>
        <w:t xml:space="preserve">References</w:t>
      </w:r>
    </w:p>
    <w:bookmarkStart w:id="126" w:name="refs"/>
    <w:bookmarkEnd w:id="126"/>
    <w:bookmarkStart w:id="130" w:name="what-goes-in-appendices"/>
    <w:p>
      <w:pPr>
        <w:pStyle w:val="Heading2"/>
      </w:pPr>
      <w:r>
        <w:t xml:space="preserve">What Goes in Appendices?</w:t>
      </w:r>
    </w:p>
    <w:p>
      <w:pPr>
        <w:pStyle w:val="FirstParagraph"/>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44"/>
        </w:numPr>
      </w:pPr>
      <w:r>
        <w:rPr>
          <w:b/>
          <w:bCs/>
        </w:rPr>
        <w:t xml:space="preserve">Additional plots and visualizations</w:t>
      </w:r>
      <w:r>
        <w:t xml:space="preserve"> </w:t>
      </w:r>
      <w:r>
        <w:t xml:space="preserve">that provide extra detail but don’t fit the main narrative flow</w:t>
      </w:r>
    </w:p>
    <w:p>
      <w:pPr>
        <w:pStyle w:val="Compact"/>
        <w:numPr>
          <w:ilvl w:val="0"/>
          <w:numId w:val="1044"/>
        </w:numPr>
      </w:pPr>
      <w:r>
        <w:rPr>
          <w:b/>
          <w:bCs/>
        </w:rPr>
        <w:t xml:space="preserve">Alternative visualizations</w:t>
      </w:r>
      <w:r>
        <w:t xml:space="preserve"> </w:t>
      </w:r>
      <w:r>
        <w:t xml:space="preserve">of the same data (e.g., different plot types)</w:t>
      </w:r>
    </w:p>
    <w:p>
      <w:pPr>
        <w:pStyle w:val="Compact"/>
        <w:numPr>
          <w:ilvl w:val="0"/>
          <w:numId w:val="1044"/>
        </w:numPr>
      </w:pPr>
      <w:r>
        <w:rPr>
          <w:b/>
          <w:bCs/>
        </w:rPr>
        <w:t xml:space="preserve">Exploratory plots</w:t>
      </w:r>
      <w:r>
        <w:t xml:space="preserve"> </w:t>
      </w:r>
      <w:r>
        <w:t xml:space="preserve">that informed your analysis but aren’t central to your findings</w:t>
      </w:r>
    </w:p>
    <w:p>
      <w:pPr>
        <w:pStyle w:val="Compact"/>
        <w:numPr>
          <w:ilvl w:val="0"/>
          <w:numId w:val="1044"/>
        </w:numPr>
      </w:pPr>
      <w:r>
        <w:rPr>
          <w:b/>
          <w:bCs/>
        </w:rPr>
        <w:t xml:space="preserve">Full code listings</w:t>
      </w:r>
      <w:r>
        <w:t xml:space="preserve"> </w:t>
      </w:r>
      <w:r>
        <w:t xml:space="preserve">for complex analyses</w:t>
      </w:r>
    </w:p>
    <w:p>
      <w:pPr>
        <w:pStyle w:val="Compact"/>
        <w:numPr>
          <w:ilvl w:val="0"/>
          <w:numId w:val="1044"/>
        </w:numPr>
      </w:pPr>
      <w:r>
        <w:rPr>
          <w:b/>
          <w:bCs/>
        </w:rPr>
        <w:t xml:space="preserve">Extended statistical tables</w:t>
      </w:r>
      <w:r>
        <w:t xml:space="preserve"> </w:t>
      </w:r>
      <w:r>
        <w:t xml:space="preserve">with detailed results</w:t>
      </w:r>
    </w:p>
    <w:p>
      <w:pPr>
        <w:pStyle w:val="Compact"/>
        <w:numPr>
          <w:ilvl w:val="0"/>
          <w:numId w:val="1044"/>
        </w:numPr>
      </w:pPr>
      <w:r>
        <w:rPr>
          <w:b/>
          <w:bCs/>
        </w:rPr>
        <w:t xml:space="preserve">Technical details</w:t>
      </w:r>
      <w:r>
        <w:t xml:space="preserve"> </w:t>
      </w:r>
      <w:r>
        <w:t xml:space="preserve">about data processing steps</w:t>
      </w:r>
    </w:p>
    <w:p>
      <w:pPr>
        <w:pStyle w:val="Compact"/>
        <w:numPr>
          <w:ilvl w:val="0"/>
          <w:numId w:val="1044"/>
        </w:numPr>
      </w:pPr>
      <w:r>
        <w:rPr>
          <w:b/>
          <w:bCs/>
        </w:rPr>
        <w:t xml:space="preserve">Sensitivity analyses</w:t>
      </w:r>
      <w:r>
        <w:t xml:space="preserve"> </w:t>
      </w:r>
      <w:r>
        <w:t xml:space="preserve">or robustness checks</w:t>
      </w:r>
    </w:p>
    <w:p>
      <w:pPr>
        <w:pStyle w:val="Compact"/>
        <w:numPr>
          <w:ilvl w:val="0"/>
          <w:numId w:val="1044"/>
        </w:numPr>
      </w:pPr>
      <w:r>
        <w:rPr>
          <w:b/>
          <w:bCs/>
        </w:rPr>
        <w:t xml:space="preserve">Data dictionaries</w:t>
      </w:r>
      <w:r>
        <w:t xml:space="preserve"> </w:t>
      </w:r>
      <w:r>
        <w:t xml:space="preserve">with detailed variable descriptions</w:t>
      </w:r>
    </w:p>
    <w:bookmarkStart w:id="127" w:name="sec-appendix-plots"/>
    <w:p>
      <w:pPr>
        <w:pStyle w:val="Heading3"/>
      </w:pPr>
      <w:r>
        <w:t xml:space="preserve">Appendix A: Additional Exploratory Plots</w:t>
      </w:r>
    </w:p>
    <w:bookmarkEnd w:id="127"/>
    <w:bookmarkStart w:id="128" w:name="sec-appendix-code"/>
    <w:p>
      <w:pPr>
        <w:pStyle w:val="Heading3"/>
      </w:pPr>
      <w:r>
        <w:t xml:space="preserve">Appendix B: Complete Code Listings</w:t>
      </w:r>
    </w:p>
    <w:bookmarkEnd w:id="128"/>
    <w:bookmarkStart w:id="129" w:name="sec-appendix-tables"/>
    <w:p>
      <w:pPr>
        <w:pStyle w:val="Heading3"/>
      </w:pPr>
      <w:r>
        <w:t xml:space="preserve">Appendix C: Supplementary Tables</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97" Target="media/rId97.pn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89" Target="media/rId89.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69" Target="media/rId69.png" /><Relationship Type="http://schemas.openxmlformats.org/officeDocument/2006/relationships/image" Id="rId93" Target="media/rId93.png" /><Relationship Type="http://schemas.openxmlformats.org/officeDocument/2006/relationships/hyperlink" Id="rId51" Target="https://data.nsw.gov.au/data/dataset/nsw-remote-working-survey" TargetMode="External" /><Relationship Type="http://schemas.openxmlformats.org/officeDocument/2006/relationships/hyperlink" Id="rId20" Target="https://en.wikibooks.org/wiki/LaTeX/Mathematics" TargetMode="External" /><Relationship Type="http://schemas.openxmlformats.org/officeDocument/2006/relationships/hyperlink" Id="rId24" Target="https://quarto.org/docs/authoring/cross-references.html" TargetMode="External" /><Relationship Type="http://schemas.openxmlformats.org/officeDocument/2006/relationships/hyperlink" Id="rId44" Target="https://quarto.org/docs/authoring/figures.html" TargetMode="External" /><Relationship Type="http://schemas.openxmlformats.org/officeDocument/2006/relationships/hyperlink" Id="rId31" Target="https://quarto.org/docs/authoring/markdown-basics.html" TargetMode="External" /></Relationships>
</file>

<file path=word/_rels/footnotes.xml.rels><?xml version="1.0" encoding="UTF-8"?><Relationships xmlns="http://schemas.openxmlformats.org/package/2006/relationships"><Relationship Type="http://schemas.openxmlformats.org/officeDocument/2006/relationships/hyperlink" Id="rId51" Target="https://data.nsw.gov.au/data/dataset/nsw-remote-working-survey" TargetMode="External" /><Relationship Type="http://schemas.openxmlformats.org/officeDocument/2006/relationships/hyperlink" Id="rId20" Target="https://en.wikibooks.org/wiki/LaTeX/Mathematics" TargetMode="External" /><Relationship Type="http://schemas.openxmlformats.org/officeDocument/2006/relationships/hyperlink" Id="rId24" Target="https://quarto.org/docs/authoring/cross-references.html" TargetMode="External" /><Relationship Type="http://schemas.openxmlformats.org/officeDocument/2006/relationships/hyperlink" Id="rId44" Target="https://quarto.org/docs/authoring/figures.html" TargetMode="External" /><Relationship Type="http://schemas.openxmlformats.org/officeDocument/2006/relationships/hyperlink" Id="rId31" Target="https://quarto.org/docs/authoring/markdown-basic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2025-12-11T13:59:04Z</dcterms:created>
  <dcterms:modified xsi:type="dcterms:W3CDTF">2025-12-11T13:59:04Z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