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CTRL-003</w:t>
      </w:r>
    </w:p>
    <w:p>
      <w:pPr>
        <w:pStyle w:val="Title"/>
        <w:jc w:val="left"/>
      </w:pPr>
      <w:r>
        <w:t>ÍNDICE Y ESTADO DEL EXPEDIENTE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2.0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corte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Responsable del expediente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Amaury Jahaziel Gordillo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 general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COMPLETO · CIERRE DOCUMENTADO</w:t>
            </w:r>
          </w:p>
        </w:tc>
      </w:tr>
    </w:tbl>
    <w:p/>
    <w:p>
      <w:pPr>
        <w:pStyle w:val="Heading1"/>
      </w:pPr>
      <w:r>
        <w:t>Estado por unidad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17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76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Unidad 1 · Inicio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COMPLETA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LEV-003, ACTA-003 aprobada y APROB-003.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Unidad 2 · Metodologías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COMPLETA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PLAN-003, SEG-003, Kanban y evidencias.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Unidad 3 · Planificación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COMPLETA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WBS-003, GANTT-003, REC-003 y documento U3-003.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Unidad 4 · Riesgos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COMPLETA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INC-003-01, RISK-003 y VME-003.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Unidad 5 · Herramientas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COMPLETA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HERR-003, TRELLO-003 y CC-003.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Unidad 6 · Cierre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COMPLETA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REV-003-01/02, MED-003, VALID-003, LA-003 y CIERRE-003.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Entregables técnicos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COMPLETOS</w:t>
            </w:r>
          </w:p>
        </w:tc>
        <w:tc>
          <w:tcPr>
            <w:tcW w:type="dxa" w:w="57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D1-D8 organizados y paquete final aprobado.</w:t>
            </w:r>
          </w:p>
        </w:tc>
      </w:tr>
    </w:tbl>
    <w:p/>
    <w:p>
      <w:pPr>
        <w:pStyle w:val="Heading1"/>
      </w:pPr>
      <w:r>
        <w:t>Estado final</w:t>
      </w:r>
    </w:p>
    <w:p>
      <w:r>
        <w:t>El expediente de Aarón queda completo. Los entregables técnicos D1-D8 fueron recibidos, revisados y corregidos cuando fue necesario. La planificación, riesgos, herramientas, control de cambios, evaluación y cierre quedan documentados en sus carpetas correspondientes.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Segoe UI" w:hAnsi="Segoe UI"/>
                <w:b w:val="0"/>
                <w:sz w:val="18"/>
              </w:rPr>
              <w:t>El tablero general de Trello permanece abierto porque será utilizado para otros proyectos. El cierre corresponde únicamente a Fast Burger.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CTRL-003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