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5D6B78"/>
          <w:sz w:val="17"/>
        </w:rPr>
        <w:t>ACTA-003</w:t>
      </w:r>
    </w:p>
    <w:p>
      <w:pPr>
        <w:pStyle w:val="Title"/>
      </w:pPr>
      <w:r>
        <w:t>ACTA DE INICIO · VERSIÓN APROBADA</w:t>
      </w:r>
    </w:p>
    <w:p>
      <w:r>
        <w:rPr>
          <w:rFonts w:ascii="Segoe UI" w:hAnsi="Segoe UI"/>
          <w:b/>
          <w:color w:val="273444"/>
          <w:sz w:val="20"/>
        </w:rPr>
        <w:t>Fast Burger: Simulación del proceso de atención de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Versión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1.1</w:t>
            </w:r>
          </w:p>
        </w:tc>
      </w:tr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Documento base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ACTA-003 v1.0 · 21 de agosto de 2026</w:t>
            </w:r>
          </w:p>
        </w:tc>
      </w:tr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Persona ejecutora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Aarón Adael Nanguse Hernández</w:t>
            </w:r>
          </w:p>
        </w:tc>
      </w:tr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Project Manager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Amaury Jahaziel Gordillo Hernández</w:t>
            </w:r>
          </w:p>
        </w:tc>
      </w:tr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Estado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APROBADA · Formalizada en expediente el 06 de septiembre de 2026</w:t>
            </w:r>
          </w:p>
        </w:tc>
      </w:tr>
    </w:tbl>
    <w:p/>
    <w:p>
      <w:pPr>
        <w:pStyle w:val="Heading1"/>
      </w:pPr>
      <w:r>
        <w:t>Objetivo y alcance</w:t>
      </w:r>
    </w:p>
    <w:p>
      <w:r>
        <w:t>Simular el proceso de atención de Fast Burger para comparar niveles de demanda, medir esperas y permanencia e identificar congestión. El alcance aprobado comprende llegada, pedido/pago, preparación, entrega y salida. Quedan fuera inventarios, compras, contabilidad, servicio a domicilio y procesos externos al flujo presencial.</w:t>
      </w:r>
    </w:p>
    <w:p>
      <w:pPr>
        <w:pStyle w:val="Heading1"/>
      </w:pPr>
      <w:r>
        <w:t>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Entregable</w:t>
            </w:r>
          </w:p>
        </w:tc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Estado final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D1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Diagrama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Completado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D2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Datos y parámetros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Completado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D3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Diseño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Completado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D4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Modelo Bizagi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Completado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D5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Pruebas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Aprobado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D6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Escenarios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Corregido y aprobado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D7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Informe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Corregido y aprobado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D8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Entrega final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Aprobado</w:t>
            </w:r>
          </w:p>
        </w:tc>
      </w:tr>
    </w:tbl>
    <w:p/>
    <w:p>
      <w:pPr>
        <w:pStyle w:val="Heading1"/>
      </w:pPr>
      <w:r>
        <w:t>Aprobación y vigencia</w:t>
      </w:r>
    </w:p>
    <w:p>
      <w:r>
        <w:t>ACTA-003 queda formalizada como documento rector del proyecto. PLAN-003 precisó el cronograma de recuperación sin modificar el objetivo ni el alcance aprobado.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Segoe UI" w:hAnsi="Segoe UI"/>
                <w:sz w:val="16"/>
              </w:rPr>
              <w:t>No se fabrica una firma o captura inexistente. La constancia documental de aprobación se conserva en APROB-003.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4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4"/>
      </w:rPr>
      <w:t>ACTA-003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Segoe UI" w:hAnsi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