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INC-003-01</w:t>
      </w:r>
    </w:p>
    <w:p>
      <w:pPr>
        <w:pStyle w:val="Title"/>
        <w:jc w:val="left"/>
      </w:pPr>
      <w:r>
        <w:t>REGISTRO DE INCIDENCIA · CIERRE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Versión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1.3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 de detección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27 de agosto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 de cierre administrativo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CERRADA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4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Tipo</w:t>
            </w:r>
          </w:p>
        </w:tc>
        <w:tc>
          <w:tcPr>
            <w:tcW w:type="dxa" w:w="77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Retraso en inicio de ejecución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Causa</w:t>
            </w:r>
          </w:p>
        </w:tc>
        <w:tc>
          <w:tcPr>
            <w:tcW w:type="dxa" w:w="77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Disponibilidad limitada y falta de definición inicial de herramienta y datos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Impacto</w:t>
            </w:r>
          </w:p>
        </w:tc>
        <w:tc>
          <w:tcPr>
            <w:tcW w:type="dxa" w:w="77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D1-D4 sin iniciar y margen reducido para pruebas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Respuesta</w:t>
            </w:r>
          </w:p>
        </w:tc>
        <w:tc>
          <w:tcPr>
            <w:tcW w:type="dxa" w:w="77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PLAN-003, Bizagi como herramienta principal y seguimiento frecuente</w:t>
            </w:r>
          </w:p>
        </w:tc>
      </w:tr>
      <w:tr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Resultado</w:t>
            </w:r>
          </w:p>
        </w:tc>
        <w:tc>
          <w:tcPr>
            <w:tcW w:type="dxa" w:w="777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D1-D8 completados; D6-D7 corregidos y paquete final aprobado</w:t>
            </w:r>
          </w:p>
        </w:tc>
      </w:tr>
    </w:tbl>
    <w:p/>
    <w:p>
      <w:r>
        <w:t>La recuperación eliminó la causa operativa del atraso. Con VALID-003 y CIERRE-003 completados, la incidencia queda cerrada también en términos administrativos.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INC-003-01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