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CC-003</w:t>
      </w:r>
    </w:p>
    <w:p>
      <w:pPr>
        <w:pStyle w:val="Title"/>
        <w:jc w:val="left"/>
      </w:pPr>
      <w:r>
        <w:t>CONTROL DE CAMBIOS Y CORRECCIONES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1.0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 de cierre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COMPLETO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00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1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31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44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00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CC-001</w:t>
            </w:r>
          </w:p>
        </w:tc>
        <w:tc>
          <w:tcPr>
            <w:tcW w:type="dxa" w:w="201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Replanificación por atraso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Se emitió PLAN-003 para reorganizar D1-D8 del 27 al 30 de agosto.</w:t>
            </w:r>
          </w:p>
        </w:tc>
        <w:tc>
          <w:tcPr>
            <w:tcW w:type="dxa" w:w="36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No cambió el alcance; se redujo complejidad y se concentró el trabajo en Bizagi.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Cumplido</w:t>
            </w:r>
          </w:p>
        </w:tc>
      </w:tr>
      <w:tr>
        <w:tc>
          <w:tcPr>
            <w:tcW w:type="dxa" w:w="100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CC-002</w:t>
            </w:r>
          </w:p>
        </w:tc>
        <w:tc>
          <w:tcPr>
            <w:tcW w:type="dxa" w:w="201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Corrección D6-D7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La comparación usó inicialmente resultados de una prueba previa sin la configuración final de recursos.</w:t>
            </w:r>
          </w:p>
        </w:tc>
        <w:tc>
          <w:tcPr>
            <w:tcW w:type="dxa" w:w="3672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Se reemplazó la línea base por 97 llegados, 79 completados y 50 min promedio; D7 se alineó con D6 y D8 fue reintegrado.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</w:tbl>
    <w:p/>
    <w:p>
      <w:r>
        <w:t>Los cambios fueron de planificación y calidad. El objetivo y el alcance de ACTA-003 se conservaron.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CC-003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