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1F3A7">
      <w:pPr>
        <w:pStyle w:val="2"/>
        <w:jc w:val="both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D1 · Diagrama del proceso</w:t>
      </w:r>
    </w:p>
    <w:p w14:paraId="0B339DE1">
      <w:pPr>
        <w:rPr>
          <w:rFonts w:hint="default"/>
        </w:rPr>
      </w:pPr>
    </w:p>
    <w:p w14:paraId="4A294FB4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sz w:val="24"/>
          <w:szCs w:val="24"/>
        </w:rPr>
        <w:t>Proyecto: Fast Burger — Simulación del proceso de atención de clientes</w:t>
      </w:r>
    </w:p>
    <w:p w14:paraId="7F09AD88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sz w:val="24"/>
          <w:szCs w:val="24"/>
        </w:rPr>
        <w:t>Documento de referencia: PLAN-003 v1.0 · Entregable D1 · Fecha: 27 de agosto de 2026</w:t>
      </w:r>
    </w:p>
    <w:p w14:paraId="57B4B1F5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sz w:val="24"/>
          <w:szCs w:val="24"/>
        </w:rPr>
        <w:t>Herramienta: Bizagi Modeler 4.3.0.008</w:t>
      </w:r>
    </w:p>
    <w:p w14:paraId="349F8BBB">
      <w:pPr>
        <w:jc w:val="both"/>
        <w:rPr>
          <w:rFonts w:hint="default" w:ascii="Arial" w:hAnsi="Arial" w:cs="Arial"/>
          <w:sz w:val="24"/>
          <w:szCs w:val="24"/>
        </w:rPr>
      </w:pPr>
    </w:p>
    <w:p w14:paraId="34B8BE88">
      <w:pPr>
        <w:pStyle w:val="3"/>
        <w:numPr>
          <w:ilvl w:val="0"/>
          <w:numId w:val="1"/>
        </w:numPr>
        <w:jc w:val="both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Alcance representado</w:t>
      </w:r>
    </w:p>
    <w:p w14:paraId="4EEC56EA">
      <w:pPr>
        <w:numPr>
          <w:numId w:val="0"/>
        </w:numPr>
        <w:rPr>
          <w:rFonts w:hint="default"/>
        </w:rPr>
      </w:pPr>
    </w:p>
    <w:p w14:paraId="15C9D96A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sz w:val="24"/>
          <w:szCs w:val="24"/>
        </w:rPr>
        <w:t>El diagrama representa únicamente las cinco etapas aprobadas del proceso de atención de clientes en Fast Burger: llegada del cliente, toma del pedido y pago, preparación de alimentos, entrega del pedido y salida del cliente. No se incluyen procesos fuera de este alcance (inventarios, proveedores, compras, contabilidad, servicio a domicilio, módulos administrativos, bases de datos, inicio de sesión ni funciones web), conforme a lo indicado en el PLAN-003.</w:t>
      </w:r>
    </w:p>
    <w:p w14:paraId="703F1F31">
      <w:pPr>
        <w:jc w:val="both"/>
        <w:rPr>
          <w:rFonts w:hint="default" w:ascii="Arial" w:hAnsi="Arial" w:cs="Arial"/>
          <w:sz w:val="24"/>
          <w:szCs w:val="24"/>
        </w:rPr>
      </w:pPr>
    </w:p>
    <w:p w14:paraId="58F905AC">
      <w:pPr>
        <w:pStyle w:val="3"/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Diagrama BPMN</w:t>
      </w:r>
    </w:p>
    <w:p w14:paraId="6D4938C3">
      <w:pPr>
        <w:numPr>
          <w:numId w:val="0"/>
        </w:numPr>
        <w:ind w:leftChars="0"/>
        <w:rPr>
          <w:rFonts w:hint="default"/>
        </w:rPr>
      </w:pPr>
    </w:p>
    <w:p w14:paraId="1CC0B2C4">
      <w:pPr>
        <w:jc w:val="both"/>
        <w:rPr>
          <w:rFonts w:hint="default" w:ascii="Arial" w:hAnsi="Arial" w:eastAsia="Arial" w:cs="Arial"/>
          <w:sz w:val="24"/>
          <w:szCs w:val="24"/>
        </w:rPr>
      </w:pPr>
      <w:r>
        <w:rPr>
          <w:rFonts w:hint="default" w:ascii="Arial" w:hAnsi="Arial" w:eastAsia="Arial" w:cs="Arial"/>
          <w:sz w:val="24"/>
          <w:szCs w:val="24"/>
        </w:rPr>
        <w:t>Construido en Bizagi Modeler con dos carriles (Cliente y Personal Fast Burger),</w:t>
      </w:r>
      <w:bookmarkStart w:id="0" w:name="_GoBack"/>
      <w:bookmarkEnd w:id="0"/>
      <w:r>
        <w:rPr>
          <w:rFonts w:hint="default" w:ascii="Arial" w:hAnsi="Arial" w:eastAsia="Arial" w:cs="Arial"/>
          <w:sz w:val="24"/>
          <w:szCs w:val="24"/>
        </w:rPr>
        <w:t xml:space="preserve"> un evento de inicio ("Cliente llega"), cinco tareas secuenciales y un evento de fin ("Cliente se retira"). Se marcaron dos puntos de fila mediante anotaciones de texto, en los lugares donde puede formarse una espera.</w:t>
      </w:r>
    </w:p>
    <w:p w14:paraId="1AEE2DF6">
      <w:pPr>
        <w:jc w:val="both"/>
        <w:rPr>
          <w:rFonts w:hint="default" w:ascii="Arial" w:hAnsi="Arial" w:eastAsia="Arial" w:cs="Arial"/>
          <w:sz w:val="24"/>
          <w:szCs w:val="24"/>
        </w:rPr>
      </w:pPr>
    </w:p>
    <w:p w14:paraId="03F8DE4D">
      <w:pPr>
        <w:jc w:val="both"/>
        <w:rPr>
          <w:rFonts w:hint="default" w:ascii="Arial" w:hAnsi="Arial" w:eastAsia="Arial" w:cs="Arial"/>
          <w:sz w:val="24"/>
          <w:szCs w:val="24"/>
        </w:rPr>
      </w:pPr>
    </w:p>
    <w:p w14:paraId="7F70F793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0" distR="0">
            <wp:extent cx="5334000" cy="29165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1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553F">
      <w:pPr>
        <w:jc w:val="both"/>
        <w:rPr>
          <w:rFonts w:hint="default" w:ascii="Arial" w:hAnsi="Arial" w:cs="Arial"/>
          <w:sz w:val="24"/>
          <w:szCs w:val="24"/>
        </w:rPr>
      </w:pPr>
    </w:p>
    <w:p w14:paraId="240073F1">
      <w:pPr>
        <w:jc w:val="both"/>
        <w:rPr>
          <w:rFonts w:hint="default" w:ascii="Arial" w:hAnsi="Arial" w:cs="Arial"/>
          <w:sz w:val="24"/>
          <w:szCs w:val="24"/>
        </w:rPr>
      </w:pPr>
    </w:p>
    <w:p w14:paraId="00401A25">
      <w:pPr>
        <w:jc w:val="both"/>
        <w:rPr>
          <w:rFonts w:hint="default" w:ascii="Arial" w:hAnsi="Arial" w:cs="Arial"/>
          <w:sz w:val="24"/>
          <w:szCs w:val="24"/>
        </w:rPr>
      </w:pPr>
    </w:p>
    <w:p w14:paraId="79D2EB3C">
      <w:pPr>
        <w:jc w:val="both"/>
        <w:rPr>
          <w:rFonts w:hint="default" w:ascii="Arial" w:hAnsi="Arial" w:cs="Arial"/>
          <w:sz w:val="24"/>
          <w:szCs w:val="24"/>
        </w:rPr>
      </w:pPr>
    </w:p>
    <w:p w14:paraId="5A4A5C82">
      <w:pPr>
        <w:jc w:val="both"/>
        <w:rPr>
          <w:rFonts w:hint="default" w:ascii="Arial" w:hAnsi="Arial" w:cs="Arial"/>
          <w:sz w:val="24"/>
          <w:szCs w:val="24"/>
        </w:rPr>
      </w:pPr>
    </w:p>
    <w:p w14:paraId="5B5967C0">
      <w:pPr>
        <w:jc w:val="both"/>
        <w:rPr>
          <w:rFonts w:hint="default" w:ascii="Arial" w:hAnsi="Arial" w:cs="Arial"/>
          <w:sz w:val="24"/>
          <w:szCs w:val="24"/>
        </w:rPr>
      </w:pPr>
    </w:p>
    <w:p w14:paraId="4C7E39A6">
      <w:pPr>
        <w:pStyle w:val="3"/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Etapas y participantes</w:t>
      </w:r>
    </w:p>
    <w:p w14:paraId="595BB772">
      <w:pPr>
        <w:numPr>
          <w:numId w:val="0"/>
        </w:numPr>
        <w:ind w:leftChars="0"/>
        <w:rPr>
          <w:rFonts w:hint="default"/>
        </w:rPr>
      </w:pPr>
    </w:p>
    <w:tbl>
      <w:tblPr>
        <w:tblStyle w:val="9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600"/>
        <w:gridCol w:w="2600"/>
        <w:gridCol w:w="3200"/>
      </w:tblGrid>
      <w:tr w14:paraId="61901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D9D2C5"/>
          </w:tcPr>
          <w:p w14:paraId="47FDDBBE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2600" w:type="dxa"/>
            <w:shd w:val="clear" w:color="auto" w:fill="D9D2C5"/>
          </w:tcPr>
          <w:p w14:paraId="41298760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Etapa</w:t>
            </w:r>
          </w:p>
        </w:tc>
        <w:tc>
          <w:tcPr>
            <w:tcW w:w="2600" w:type="dxa"/>
            <w:shd w:val="clear" w:color="auto" w:fill="D9D2C5"/>
          </w:tcPr>
          <w:p w14:paraId="0C386E3D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Carril / responsable</w:t>
            </w:r>
          </w:p>
        </w:tc>
        <w:tc>
          <w:tcPr>
            <w:tcW w:w="3200" w:type="dxa"/>
            <w:shd w:val="clear" w:color="auto" w:fill="D9D2C5"/>
          </w:tcPr>
          <w:p w14:paraId="2A4FB71E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14:paraId="45FAA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</w:tcPr>
          <w:p w14:paraId="59712710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1</w:t>
            </w:r>
          </w:p>
        </w:tc>
        <w:tc>
          <w:tcPr>
            <w:tcW w:w="2600" w:type="dxa"/>
          </w:tcPr>
          <w:p w14:paraId="7600B181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Llegada del cliente</w:t>
            </w:r>
          </w:p>
        </w:tc>
        <w:tc>
          <w:tcPr>
            <w:tcW w:w="2600" w:type="dxa"/>
          </w:tcPr>
          <w:p w14:paraId="4C3CB621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Cliente</w:t>
            </w:r>
          </w:p>
        </w:tc>
        <w:tc>
          <w:tcPr>
            <w:tcW w:w="3200" w:type="dxa"/>
          </w:tcPr>
          <w:p w14:paraId="13435651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El cliente ingresa al establecimiento. Inicia el proceso.</w:t>
            </w:r>
          </w:p>
        </w:tc>
      </w:tr>
      <w:tr w14:paraId="23B05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</w:tcPr>
          <w:p w14:paraId="2DAF30DF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2</w:t>
            </w:r>
          </w:p>
        </w:tc>
        <w:tc>
          <w:tcPr>
            <w:tcW w:w="2600" w:type="dxa"/>
          </w:tcPr>
          <w:p w14:paraId="204D3A25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Toma del pedido y pago</w:t>
            </w:r>
          </w:p>
        </w:tc>
        <w:tc>
          <w:tcPr>
            <w:tcW w:w="2600" w:type="dxa"/>
          </w:tcPr>
          <w:p w14:paraId="250C1FA2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Personal Fast Burger (Cajero)</w:t>
            </w:r>
          </w:p>
        </w:tc>
        <w:tc>
          <w:tcPr>
            <w:tcW w:w="3200" w:type="dxa"/>
          </w:tcPr>
          <w:p w14:paraId="2635DAE5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El cajero registra el pedido y cobra al cliente.</w:t>
            </w:r>
          </w:p>
        </w:tc>
      </w:tr>
      <w:tr w14:paraId="0C3E5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</w:tcPr>
          <w:p w14:paraId="62204ADF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3</w:t>
            </w:r>
          </w:p>
        </w:tc>
        <w:tc>
          <w:tcPr>
            <w:tcW w:w="2600" w:type="dxa"/>
          </w:tcPr>
          <w:p w14:paraId="7AEF35A7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Preparación de alimentos</w:t>
            </w:r>
          </w:p>
        </w:tc>
        <w:tc>
          <w:tcPr>
            <w:tcW w:w="2600" w:type="dxa"/>
          </w:tcPr>
          <w:p w14:paraId="6B9A0A5A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Personal Fast Burger (Cocinero)</w:t>
            </w:r>
          </w:p>
        </w:tc>
        <w:tc>
          <w:tcPr>
            <w:tcW w:w="3200" w:type="dxa"/>
          </w:tcPr>
          <w:p w14:paraId="6B8A0448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Se prepara el pedido en cocina.</w:t>
            </w:r>
          </w:p>
        </w:tc>
      </w:tr>
      <w:tr w14:paraId="3A527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</w:tcPr>
          <w:p w14:paraId="62F9CCEC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4</w:t>
            </w:r>
          </w:p>
        </w:tc>
        <w:tc>
          <w:tcPr>
            <w:tcW w:w="2600" w:type="dxa"/>
          </w:tcPr>
          <w:p w14:paraId="4DFE3E4B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Entrega del pedido</w:t>
            </w:r>
          </w:p>
        </w:tc>
        <w:tc>
          <w:tcPr>
            <w:tcW w:w="2600" w:type="dxa"/>
          </w:tcPr>
          <w:p w14:paraId="5093CC15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Personal Fast Burger (Repartidor)</w:t>
            </w:r>
          </w:p>
        </w:tc>
        <w:tc>
          <w:tcPr>
            <w:tcW w:w="3200" w:type="dxa"/>
          </w:tcPr>
          <w:p w14:paraId="674AF084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Se entrega el pedido terminado al cliente.</w:t>
            </w:r>
          </w:p>
        </w:tc>
      </w:tr>
      <w:tr w14:paraId="0BBDC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</w:tcPr>
          <w:p w14:paraId="35D7BF3B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5</w:t>
            </w:r>
          </w:p>
        </w:tc>
        <w:tc>
          <w:tcPr>
            <w:tcW w:w="2600" w:type="dxa"/>
          </w:tcPr>
          <w:p w14:paraId="10670E31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Salida del cliente</w:t>
            </w:r>
          </w:p>
        </w:tc>
        <w:tc>
          <w:tcPr>
            <w:tcW w:w="2600" w:type="dxa"/>
          </w:tcPr>
          <w:p w14:paraId="4D41F69D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Cliente</w:t>
            </w:r>
          </w:p>
        </w:tc>
        <w:tc>
          <w:tcPr>
            <w:tcW w:w="3200" w:type="dxa"/>
          </w:tcPr>
          <w:p w14:paraId="5943CFA8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El cliente se retira del establecimiento. Termina el proceso.</w:t>
            </w:r>
          </w:p>
        </w:tc>
      </w:tr>
    </w:tbl>
    <w:p w14:paraId="4E8AF7F9">
      <w:pPr>
        <w:jc w:val="both"/>
        <w:rPr>
          <w:rFonts w:hint="default" w:ascii="Arial" w:hAnsi="Arial" w:cs="Arial"/>
          <w:sz w:val="24"/>
          <w:szCs w:val="24"/>
        </w:rPr>
      </w:pPr>
    </w:p>
    <w:p w14:paraId="0E47FCF2">
      <w:pPr>
        <w:pStyle w:val="3"/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8"/>
          <w:szCs w:val="28"/>
        </w:rPr>
        <w:t>Puntos de fila o espera identificado</w:t>
      </w:r>
      <w:r>
        <w:rPr>
          <w:rFonts w:hint="default" w:ascii="Arial" w:hAnsi="Arial" w:cs="Arial"/>
          <w:sz w:val="24"/>
          <w:szCs w:val="24"/>
        </w:rPr>
        <w:t>s</w:t>
      </w:r>
    </w:p>
    <w:p w14:paraId="2FAFBB1E">
      <w:pPr>
        <w:numPr>
          <w:numId w:val="0"/>
        </w:numPr>
        <w:ind w:leftChars="0"/>
        <w:rPr>
          <w:rFonts w:hint="default"/>
        </w:rPr>
      </w:pPr>
    </w:p>
    <w:p w14:paraId="2AB8FCF3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sz w:val="24"/>
          <w:szCs w:val="24"/>
        </w:rPr>
        <w:t>Se identificaron dos puntos donde puede formarse una fila, marcados visualmente en el diagrama y asociados con línea punteada al tramo correspondiente del flujo:</w:t>
      </w:r>
    </w:p>
    <w:p w14:paraId="6D35A996">
      <w:pPr>
        <w:jc w:val="both"/>
        <w:rPr>
          <w:rFonts w:hint="default" w:ascii="Arial" w:hAnsi="Arial" w:cs="Arial"/>
          <w:sz w:val="24"/>
          <w:szCs w:val="24"/>
        </w:rPr>
      </w:pPr>
    </w:p>
    <w:tbl>
      <w:tblPr>
        <w:tblStyle w:val="9"/>
        <w:tblW w:w="8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300"/>
        <w:gridCol w:w="2400"/>
      </w:tblGrid>
      <w:tr w14:paraId="7D8A9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D9D2C5"/>
          </w:tcPr>
          <w:p w14:paraId="4AD8FF52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Punto de cola</w:t>
            </w:r>
          </w:p>
        </w:tc>
        <w:tc>
          <w:tcPr>
            <w:tcW w:w="3300" w:type="dxa"/>
            <w:shd w:val="clear" w:color="auto" w:fill="D9D2C5"/>
          </w:tcPr>
          <w:p w14:paraId="54355919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Ubicación en el flujo</w:t>
            </w:r>
          </w:p>
        </w:tc>
        <w:tc>
          <w:tcPr>
            <w:tcW w:w="2400" w:type="dxa"/>
            <w:shd w:val="clear" w:color="auto" w:fill="D9D2C5"/>
          </w:tcPr>
          <w:p w14:paraId="0D3B5C36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Causa</w:t>
            </w:r>
          </w:p>
        </w:tc>
      </w:tr>
      <w:tr w14:paraId="04A80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1701391D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Punto de fila 1</w:t>
            </w:r>
          </w:p>
        </w:tc>
        <w:tc>
          <w:tcPr>
            <w:tcW w:w="3300" w:type="dxa"/>
          </w:tcPr>
          <w:p w14:paraId="06523895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Entre "Llegada del cliente" y "Toma del pedido y pago"</w:t>
            </w:r>
          </w:p>
        </w:tc>
        <w:tc>
          <w:tcPr>
            <w:tcW w:w="2400" w:type="dxa"/>
          </w:tcPr>
          <w:p w14:paraId="7B2F9236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El cliente espera turno para ordenar si el Cajero está ocupado</w:t>
            </w:r>
          </w:p>
        </w:tc>
      </w:tr>
      <w:tr w14:paraId="2F3CF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59BEA048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Punto de fila 2</w:t>
            </w:r>
          </w:p>
        </w:tc>
        <w:tc>
          <w:tcPr>
            <w:tcW w:w="3300" w:type="dxa"/>
          </w:tcPr>
          <w:p w14:paraId="37826944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Entre "Entrega del pedido" y "Salida del cliente"</w:t>
            </w:r>
          </w:p>
        </w:tc>
        <w:tc>
          <w:tcPr>
            <w:tcW w:w="2400" w:type="dxa"/>
          </w:tcPr>
          <w:p w14:paraId="7DCE945C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</w:rPr>
              <w:t>El cliente espera a que su pedido esté listo</w:t>
            </w:r>
          </w:p>
        </w:tc>
      </w:tr>
    </w:tbl>
    <w:p w14:paraId="6B69DDE1">
      <w:pPr>
        <w:jc w:val="both"/>
        <w:rPr>
          <w:rFonts w:hint="default" w:ascii="Arial" w:hAnsi="Arial" w:cs="Arial"/>
          <w:sz w:val="28"/>
          <w:szCs w:val="28"/>
        </w:rPr>
      </w:pPr>
    </w:p>
    <w:p w14:paraId="3BCF3B96">
      <w:pPr>
        <w:pStyle w:val="3"/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Validación</w:t>
      </w:r>
    </w:p>
    <w:p w14:paraId="3244701E">
      <w:pPr>
        <w:numPr>
          <w:numId w:val="0"/>
        </w:numPr>
        <w:ind w:leftChars="0"/>
        <w:rPr>
          <w:rFonts w:hint="default"/>
        </w:rPr>
      </w:pPr>
    </w:p>
    <w:p w14:paraId="7A1E3933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sz w:val="24"/>
          <w:szCs w:val="24"/>
        </w:rPr>
        <w:t>El diagrama fue validado dentro de Bizagi Modeler (opción "Validar") sin errores de sintaxis BPMN. El flujo puede entenderse de principio a fin y coincide exactamente con las cinco etapas aprobadas, cumpliendo el criterio de aceptación de este entregable.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73F91F"/>
    <w:multiLevelType w:val="singleLevel"/>
    <w:tmpl w:val="8A73F91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1B275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367</Words>
  <Characters>1949</Characters>
  <TotalTime>2</TotalTime>
  <ScaleCrop>false</ScaleCrop>
  <LinksUpToDate>false</LinksUpToDate>
  <CharactersWithSpaces>2270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2026-08-30T06:28:00Z</dcterms:created>
  <dc:creator>Un-named</dc:creator>
  <cp:lastModifiedBy>Axxel hama</cp:lastModifiedBy>
  <dcterms:modified xsi:type="dcterms:W3CDTF">2026-08-30T06:36:35Z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eyJoZGlkIjoiYzc1ODkzMjUzODc1NjBmYzY5MjNlOTZhNGM2MWE2ZDUiLCJ1c2VySWQiOiIxNTExODMxNzQ2NDA4In0=</vt:lpwstr>
  </property>
  <property fmtid="{D5CDD505-2E9C-101B-9397-08002B2CF9AE}" pid="3" name="KSOProductBuildVer">
    <vt:lpwstr>2058-12.1.0.26880</vt:lpwstr>
  </property>
  <property fmtid="{D5CDD505-2E9C-101B-9397-08002B2CF9AE}" pid="4" name="ICV">
    <vt:lpwstr>4DDAB30407354618A643CC16CB1F137E_13</vt:lpwstr>
  </property>
</Properties>
</file>