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71C06">
      <w:pPr>
        <w:pStyle w:val="2"/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D7 · Informe de resultados</w:t>
      </w:r>
    </w:p>
    <w:p w14:paraId="1DB960FF">
      <w:pPr>
        <w:rPr>
          <w:rFonts w:hint="default"/>
        </w:rPr>
      </w:pPr>
    </w:p>
    <w:p w14:paraId="1A85B9A8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sz w:val="24"/>
          <w:szCs w:val="24"/>
        </w:rPr>
        <w:t>Proyecto: Fast Burger — Simulación del proceso de atención de clientes</w:t>
      </w:r>
    </w:p>
    <w:p w14:paraId="74819F30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sz w:val="24"/>
          <w:szCs w:val="24"/>
        </w:rPr>
        <w:t>Documento de referencia: PLAN-003 v1.0 · Entregable D7 · Fecha: 30 de agosto de 2026 (v2 - corregido tras revisión del PM, consistente con D6)</w:t>
      </w:r>
    </w:p>
    <w:p w14:paraId="1701B089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sz w:val="24"/>
          <w:szCs w:val="24"/>
        </w:rPr>
        <w:t>Elaborado por: Aaron Adael Nanguse Hernández · Revisado por: Amaury Jahaziel Gordillo Hernández</w:t>
      </w:r>
    </w:p>
    <w:p w14:paraId="3DAEA27B">
      <w:pPr>
        <w:jc w:val="both"/>
        <w:rPr>
          <w:rFonts w:hint="default" w:ascii="Arial" w:hAnsi="Arial" w:cs="Arial"/>
          <w:sz w:val="24"/>
          <w:szCs w:val="24"/>
        </w:rPr>
      </w:pPr>
    </w:p>
    <w:p w14:paraId="2C0D5CB2">
      <w:pPr>
        <w:pStyle w:val="3"/>
        <w:numPr>
          <w:ilvl w:val="0"/>
          <w:numId w:val="1"/>
        </w:numPr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Qué se simuló</w:t>
      </w:r>
    </w:p>
    <w:p w14:paraId="017555AE">
      <w:pPr>
        <w:numPr>
          <w:numId w:val="0"/>
        </w:numPr>
        <w:rPr>
          <w:rFonts w:hint="default"/>
          <w:lang w:val="es-MX"/>
        </w:rPr>
      </w:pPr>
    </w:p>
    <w:p w14:paraId="466F1199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sz w:val="24"/>
          <w:szCs w:val="24"/>
        </w:rPr>
        <w:t>Se simuló el proceso de atención de clientes de un restaurante de comida rápida (Fast Burger), representado en cinco etapas: llegada del cliente, toma del pedido y pago, preparación de alimentos, entrega del pedido y salida del cliente. El modelo se construyó en Bizagi Modeler como un proceso BPMN de flujo único, sin bifurcaciones, con dos carriles (Cliente y Personal Fast Burger) y dos puntos de fila identificados: antes de ordenar y antes de recibir el pedido. Se ejecutaron dos escenarios, ambos con la configuración final de recursos (1 Cajero, 1 Cocinero, 1 Repartidor): uno con demanda base y otro con demanda alta, para evaluar el comportamiento del sistema ante distintos volúmenes de clientes.</w:t>
      </w:r>
    </w:p>
    <w:p w14:paraId="727415D2">
      <w:pPr>
        <w:jc w:val="both"/>
        <w:rPr>
          <w:rFonts w:hint="default" w:ascii="Arial" w:hAnsi="Arial" w:cs="Arial"/>
          <w:sz w:val="24"/>
          <w:szCs w:val="24"/>
        </w:rPr>
      </w:pPr>
    </w:p>
    <w:p w14:paraId="6C84F42F">
      <w:pPr>
        <w:pStyle w:val="3"/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Datos utilizados</w:t>
      </w:r>
    </w:p>
    <w:p w14:paraId="1753710B">
      <w:pPr>
        <w:numPr>
          <w:numId w:val="0"/>
        </w:numPr>
        <w:ind w:leftChars="0"/>
        <w:rPr>
          <w:rFonts w:hint="default"/>
        </w:rPr>
      </w:pPr>
    </w:p>
    <w:p w14:paraId="6A4617CF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sz w:val="24"/>
          <w:szCs w:val="24"/>
        </w:rPr>
        <w:t>Al no contarse con mediciones reales del proceso, todos los valores de tiempo se definieron como supuestos académicos, documentados explícitamente como tales conforme al PLAN-003.</w:t>
      </w:r>
    </w:p>
    <w:p w14:paraId="213D476C">
      <w:pPr>
        <w:jc w:val="both"/>
        <w:rPr>
          <w:rFonts w:hint="default" w:ascii="Arial" w:hAnsi="Arial" w:cs="Arial"/>
          <w:sz w:val="24"/>
          <w:szCs w:val="24"/>
        </w:rPr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400"/>
        <w:gridCol w:w="1500"/>
        <w:gridCol w:w="1600"/>
      </w:tblGrid>
      <w:tr w14:paraId="716D6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D9D2C5"/>
          </w:tcPr>
          <w:p w14:paraId="337B4F4D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Parámetro</w:t>
            </w:r>
          </w:p>
        </w:tc>
        <w:tc>
          <w:tcPr>
            <w:tcW w:w="3400" w:type="dxa"/>
            <w:shd w:val="clear" w:color="auto" w:fill="D9D2C5"/>
          </w:tcPr>
          <w:p w14:paraId="05870FFF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Valor</w:t>
            </w:r>
          </w:p>
        </w:tc>
        <w:tc>
          <w:tcPr>
            <w:tcW w:w="1500" w:type="dxa"/>
            <w:shd w:val="clear" w:color="auto" w:fill="D9D2C5"/>
          </w:tcPr>
          <w:p w14:paraId="4F8B2B79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Unidad</w:t>
            </w:r>
          </w:p>
        </w:tc>
        <w:tc>
          <w:tcPr>
            <w:tcW w:w="1600" w:type="dxa"/>
            <w:shd w:val="clear" w:color="auto" w:fill="D9D2C5"/>
          </w:tcPr>
          <w:p w14:paraId="0D83D4F5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Fuente</w:t>
            </w:r>
          </w:p>
        </w:tc>
      </w:tr>
      <w:tr w14:paraId="51FBB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5D45A497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Intervalo de llegada (base)</w:t>
            </w:r>
          </w:p>
        </w:tc>
        <w:tc>
          <w:tcPr>
            <w:tcW w:w="3400" w:type="dxa"/>
          </w:tcPr>
          <w:p w14:paraId="402A6E3D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5 min</w:t>
            </w:r>
          </w:p>
        </w:tc>
        <w:tc>
          <w:tcPr>
            <w:tcW w:w="1500" w:type="dxa"/>
          </w:tcPr>
          <w:p w14:paraId="07976679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Minutos</w:t>
            </w:r>
          </w:p>
        </w:tc>
        <w:tc>
          <w:tcPr>
            <w:tcW w:w="1600" w:type="dxa"/>
          </w:tcPr>
          <w:p w14:paraId="385676C2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/>
                <w:iCs/>
                <w:sz w:val="24"/>
                <w:szCs w:val="24"/>
              </w:rPr>
              <w:t>Supuesto académico</w:t>
            </w:r>
          </w:p>
        </w:tc>
      </w:tr>
      <w:tr w14:paraId="4D21F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B9507BE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Intervalo de llegada (alta demanda)</w:t>
            </w:r>
          </w:p>
        </w:tc>
        <w:tc>
          <w:tcPr>
            <w:tcW w:w="3400" w:type="dxa"/>
          </w:tcPr>
          <w:p w14:paraId="333F2038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2 min</w:t>
            </w:r>
          </w:p>
        </w:tc>
        <w:tc>
          <w:tcPr>
            <w:tcW w:w="1500" w:type="dxa"/>
          </w:tcPr>
          <w:p w14:paraId="655248C9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Minutos</w:t>
            </w:r>
          </w:p>
        </w:tc>
        <w:tc>
          <w:tcPr>
            <w:tcW w:w="1600" w:type="dxa"/>
          </w:tcPr>
          <w:p w14:paraId="71F2D615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/>
                <w:iCs/>
                <w:sz w:val="24"/>
                <w:szCs w:val="24"/>
              </w:rPr>
              <w:t>Supuesto académico</w:t>
            </w:r>
          </w:p>
        </w:tc>
      </w:tr>
      <w:tr w14:paraId="07403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06526039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Tiempo de pedido y pago</w:t>
            </w:r>
          </w:p>
        </w:tc>
        <w:tc>
          <w:tcPr>
            <w:tcW w:w="3400" w:type="dxa"/>
          </w:tcPr>
          <w:p w14:paraId="7CDF51CB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3 min</w:t>
            </w:r>
          </w:p>
        </w:tc>
        <w:tc>
          <w:tcPr>
            <w:tcW w:w="1500" w:type="dxa"/>
          </w:tcPr>
          <w:p w14:paraId="13FB9EA0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Minutos</w:t>
            </w:r>
          </w:p>
        </w:tc>
        <w:tc>
          <w:tcPr>
            <w:tcW w:w="1600" w:type="dxa"/>
          </w:tcPr>
          <w:p w14:paraId="1EA6C580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/>
                <w:iCs/>
                <w:sz w:val="24"/>
                <w:szCs w:val="24"/>
              </w:rPr>
              <w:t>Supuesto académico</w:t>
            </w:r>
          </w:p>
        </w:tc>
      </w:tr>
      <w:tr w14:paraId="093AB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5CD269D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Tiempo de preparación de alimentos</w:t>
            </w:r>
          </w:p>
        </w:tc>
        <w:tc>
          <w:tcPr>
            <w:tcW w:w="3400" w:type="dxa"/>
          </w:tcPr>
          <w:p w14:paraId="2BAFC678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6 min</w:t>
            </w:r>
          </w:p>
        </w:tc>
        <w:tc>
          <w:tcPr>
            <w:tcW w:w="1500" w:type="dxa"/>
          </w:tcPr>
          <w:p w14:paraId="3DE518D4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Minutos</w:t>
            </w:r>
          </w:p>
        </w:tc>
        <w:tc>
          <w:tcPr>
            <w:tcW w:w="1600" w:type="dxa"/>
          </w:tcPr>
          <w:p w14:paraId="2018E6C9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/>
                <w:iCs/>
                <w:sz w:val="24"/>
                <w:szCs w:val="24"/>
              </w:rPr>
              <w:t>Supuesto académico</w:t>
            </w:r>
          </w:p>
        </w:tc>
      </w:tr>
      <w:tr w14:paraId="67AD8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740AF60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Tiempo de entrega del pedido</w:t>
            </w:r>
          </w:p>
        </w:tc>
        <w:tc>
          <w:tcPr>
            <w:tcW w:w="3400" w:type="dxa"/>
          </w:tcPr>
          <w:p w14:paraId="6E68916D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2 min</w:t>
            </w:r>
          </w:p>
        </w:tc>
        <w:tc>
          <w:tcPr>
            <w:tcW w:w="1500" w:type="dxa"/>
          </w:tcPr>
          <w:p w14:paraId="5FBF5CB2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Minutos</w:t>
            </w:r>
          </w:p>
        </w:tc>
        <w:tc>
          <w:tcPr>
            <w:tcW w:w="1600" w:type="dxa"/>
          </w:tcPr>
          <w:p w14:paraId="44A2DC02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/>
                <w:iCs/>
                <w:sz w:val="24"/>
                <w:szCs w:val="24"/>
              </w:rPr>
              <w:t>Supuesto académico</w:t>
            </w:r>
          </w:p>
        </w:tc>
      </w:tr>
      <w:tr w14:paraId="6C07D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7B8E4CC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Recursos</w:t>
            </w:r>
          </w:p>
        </w:tc>
        <w:tc>
          <w:tcPr>
            <w:tcW w:w="3400" w:type="dxa"/>
          </w:tcPr>
          <w:p w14:paraId="5C52ECB5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1 Cajero, 1 Cocinero, 1 Repartidor</w:t>
            </w:r>
          </w:p>
        </w:tc>
        <w:tc>
          <w:tcPr>
            <w:tcW w:w="1500" w:type="dxa"/>
          </w:tcPr>
          <w:p w14:paraId="1740744C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Personas</w:t>
            </w:r>
          </w:p>
        </w:tc>
        <w:tc>
          <w:tcPr>
            <w:tcW w:w="1600" w:type="dxa"/>
          </w:tcPr>
          <w:p w14:paraId="472EE305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/>
                <w:iCs/>
                <w:sz w:val="24"/>
                <w:szCs w:val="24"/>
              </w:rPr>
              <w:t>Supuesto académico</w:t>
            </w:r>
          </w:p>
        </w:tc>
      </w:tr>
      <w:tr w14:paraId="43D41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591CD44D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Duración del turno simulado</w:t>
            </w:r>
          </w:p>
        </w:tc>
        <w:tc>
          <w:tcPr>
            <w:tcW w:w="3400" w:type="dxa"/>
          </w:tcPr>
          <w:p w14:paraId="7D3CC3AE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8 horas</w:t>
            </w:r>
          </w:p>
        </w:tc>
        <w:tc>
          <w:tcPr>
            <w:tcW w:w="1500" w:type="dxa"/>
          </w:tcPr>
          <w:p w14:paraId="17493245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Horas</w:t>
            </w:r>
          </w:p>
        </w:tc>
        <w:tc>
          <w:tcPr>
            <w:tcW w:w="1600" w:type="dxa"/>
          </w:tcPr>
          <w:p w14:paraId="1ADC5101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Definido para el ejercicio</w:t>
            </w:r>
          </w:p>
        </w:tc>
      </w:tr>
    </w:tbl>
    <w:p w14:paraId="0C1C3EE3">
      <w:pPr>
        <w:jc w:val="both"/>
        <w:rPr>
          <w:rFonts w:hint="default" w:ascii="Arial" w:hAnsi="Arial" w:cs="Arial"/>
          <w:sz w:val="28"/>
          <w:szCs w:val="28"/>
        </w:rPr>
      </w:pPr>
    </w:p>
    <w:p w14:paraId="12492A9C">
      <w:pPr>
        <w:jc w:val="both"/>
        <w:rPr>
          <w:rFonts w:hint="default" w:ascii="Arial" w:hAnsi="Arial" w:cs="Arial"/>
          <w:sz w:val="28"/>
          <w:szCs w:val="28"/>
        </w:rPr>
      </w:pPr>
    </w:p>
    <w:p w14:paraId="3F816D53">
      <w:pPr>
        <w:jc w:val="both"/>
        <w:rPr>
          <w:rFonts w:hint="default" w:ascii="Arial" w:hAnsi="Arial" w:cs="Arial"/>
          <w:sz w:val="28"/>
          <w:szCs w:val="28"/>
        </w:rPr>
      </w:pPr>
    </w:p>
    <w:p w14:paraId="1891D250">
      <w:pPr>
        <w:jc w:val="both"/>
        <w:rPr>
          <w:rFonts w:hint="default" w:ascii="Arial" w:hAnsi="Arial" w:cs="Arial"/>
          <w:sz w:val="28"/>
          <w:szCs w:val="28"/>
        </w:rPr>
      </w:pPr>
    </w:p>
    <w:p w14:paraId="0A02A549">
      <w:pPr>
        <w:pStyle w:val="3"/>
        <w:numPr>
          <w:ilvl w:val="0"/>
          <w:numId w:val="1"/>
        </w:numPr>
        <w:ind w:left="0" w:leftChars="0" w:firstLine="0" w:firstLineChars="0"/>
        <w:jc w:val="both"/>
        <w:rPr>
          <w:rFonts w:hint="default"/>
        </w:rPr>
      </w:pPr>
      <w:r>
        <w:rPr>
          <w:rFonts w:hint="default" w:ascii="Arial" w:hAnsi="Arial" w:cs="Arial"/>
          <w:sz w:val="28"/>
          <w:szCs w:val="28"/>
        </w:rPr>
        <w:t>Resultados: esperas, filas, permanencia y punto de congestión</w:t>
      </w:r>
    </w:p>
    <w:p w14:paraId="37C9F76B">
      <w:pPr>
        <w:numPr>
          <w:numId w:val="0"/>
        </w:numPr>
        <w:rPr>
          <w:rFonts w:hint="default"/>
        </w:rPr>
      </w:pPr>
    </w:p>
    <w:tbl>
      <w:tblPr>
        <w:tblStyle w:val="9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2100"/>
        <w:gridCol w:w="2100"/>
        <w:gridCol w:w="2400"/>
      </w:tblGrid>
      <w:tr w14:paraId="4972C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00" w:type="dxa"/>
            <w:shd w:val="clear" w:color="auto" w:fill="D9D2C5"/>
          </w:tcPr>
          <w:p w14:paraId="02410FEC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Indicador</w:t>
            </w:r>
          </w:p>
        </w:tc>
        <w:tc>
          <w:tcPr>
            <w:tcW w:w="2100" w:type="dxa"/>
            <w:shd w:val="clear" w:color="auto" w:fill="D9D2C5"/>
          </w:tcPr>
          <w:p w14:paraId="18439E39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Base</w:t>
            </w:r>
          </w:p>
        </w:tc>
        <w:tc>
          <w:tcPr>
            <w:tcW w:w="2100" w:type="dxa"/>
            <w:shd w:val="clear" w:color="auto" w:fill="D9D2C5"/>
          </w:tcPr>
          <w:p w14:paraId="7B3C4007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Alta demanda</w:t>
            </w:r>
          </w:p>
        </w:tc>
        <w:tc>
          <w:tcPr>
            <w:tcW w:w="2400" w:type="dxa"/>
            <w:shd w:val="clear" w:color="auto" w:fill="D9D2C5"/>
          </w:tcPr>
          <w:p w14:paraId="2E91D6C8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  <w:t>Variación</w:t>
            </w:r>
          </w:p>
        </w:tc>
      </w:tr>
      <w:tr w14:paraId="3E792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</w:tcPr>
          <w:p w14:paraId="1C0344C6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Clientes llegados</w:t>
            </w:r>
          </w:p>
        </w:tc>
        <w:tc>
          <w:tcPr>
            <w:tcW w:w="2100" w:type="dxa"/>
          </w:tcPr>
          <w:p w14:paraId="6485439A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97</w:t>
            </w:r>
          </w:p>
        </w:tc>
        <w:tc>
          <w:tcPr>
            <w:tcW w:w="2100" w:type="dxa"/>
          </w:tcPr>
          <w:p w14:paraId="548B0C9F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240</w:t>
            </w:r>
          </w:p>
        </w:tc>
        <w:tc>
          <w:tcPr>
            <w:tcW w:w="2400" w:type="dxa"/>
          </w:tcPr>
          <w:p w14:paraId="08F42E3A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+147%</w:t>
            </w:r>
          </w:p>
        </w:tc>
      </w:tr>
      <w:tr w14:paraId="26042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</w:tcPr>
          <w:p w14:paraId="4ADFDD2D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Clientes que completaron el proceso</w:t>
            </w:r>
          </w:p>
        </w:tc>
        <w:tc>
          <w:tcPr>
            <w:tcW w:w="2100" w:type="dxa"/>
          </w:tcPr>
          <w:p w14:paraId="75434CA2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79 (81.4%)</w:t>
            </w:r>
          </w:p>
        </w:tc>
        <w:tc>
          <w:tcPr>
            <w:tcW w:w="2100" w:type="dxa"/>
          </w:tcPr>
          <w:p w14:paraId="097ACCBD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sz w:val="24"/>
                <w:szCs w:val="24"/>
              </w:rPr>
              <w:t>79 (32.9%)</w:t>
            </w:r>
          </w:p>
        </w:tc>
        <w:tc>
          <w:tcPr>
            <w:tcW w:w="2400" w:type="dxa"/>
          </w:tcPr>
          <w:p w14:paraId="3B51C45C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Mismo número absoluto; cae la proporción atendida</w:t>
            </w:r>
          </w:p>
        </w:tc>
      </w:tr>
      <w:tr w14:paraId="16C8B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</w:tcPr>
          <w:p w14:paraId="79F74388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Tiempo promedio total en el sistema</w:t>
            </w:r>
          </w:p>
        </w:tc>
        <w:tc>
          <w:tcPr>
            <w:tcW w:w="2100" w:type="dxa"/>
          </w:tcPr>
          <w:p w14:paraId="7060210F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50 min</w:t>
            </w:r>
          </w:p>
        </w:tc>
        <w:tc>
          <w:tcPr>
            <w:tcW w:w="2100" w:type="dxa"/>
          </w:tcPr>
          <w:p w14:paraId="24DDF803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sz w:val="24"/>
                <w:szCs w:val="24"/>
              </w:rPr>
              <w:t>167 min</w:t>
            </w:r>
          </w:p>
        </w:tc>
        <w:tc>
          <w:tcPr>
            <w:tcW w:w="2400" w:type="dxa"/>
          </w:tcPr>
          <w:p w14:paraId="373D4006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+234%</w:t>
            </w:r>
          </w:p>
        </w:tc>
      </w:tr>
      <w:tr w14:paraId="26A62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</w:tcPr>
          <w:p w14:paraId="0E4F540A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Tiempo máximo en el sistema</w:t>
            </w:r>
          </w:p>
        </w:tc>
        <w:tc>
          <w:tcPr>
            <w:tcW w:w="2100" w:type="dxa"/>
          </w:tcPr>
          <w:p w14:paraId="4CAB61B2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89 min</w:t>
            </w:r>
          </w:p>
        </w:tc>
        <w:tc>
          <w:tcPr>
            <w:tcW w:w="2100" w:type="dxa"/>
          </w:tcPr>
          <w:p w14:paraId="642E864F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323 min</w:t>
            </w:r>
          </w:p>
        </w:tc>
        <w:tc>
          <w:tcPr>
            <w:tcW w:w="2400" w:type="dxa"/>
          </w:tcPr>
          <w:p w14:paraId="1EDC5178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+263%</w:t>
            </w:r>
          </w:p>
        </w:tc>
      </w:tr>
      <w:tr w14:paraId="43E26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</w:tcPr>
          <w:p w14:paraId="1DF961D7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% uso del Cajero</w:t>
            </w:r>
          </w:p>
        </w:tc>
        <w:tc>
          <w:tcPr>
            <w:tcW w:w="2100" w:type="dxa"/>
          </w:tcPr>
          <w:p w14:paraId="1DD66F44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60.00 %</w:t>
            </w:r>
          </w:p>
        </w:tc>
        <w:tc>
          <w:tcPr>
            <w:tcW w:w="2100" w:type="dxa"/>
          </w:tcPr>
          <w:p w14:paraId="434B7E26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sz w:val="24"/>
                <w:szCs w:val="24"/>
              </w:rPr>
              <w:t>100.00 %</w:t>
            </w:r>
          </w:p>
        </w:tc>
        <w:tc>
          <w:tcPr>
            <w:tcW w:w="2400" w:type="dxa"/>
          </w:tcPr>
          <w:p w14:paraId="56395337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Pasa de holgura a saturación total</w:t>
            </w:r>
          </w:p>
        </w:tc>
      </w:tr>
      <w:tr w14:paraId="5CA9F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</w:tcPr>
          <w:p w14:paraId="107FD091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% uso del Cocinero</w:t>
            </w:r>
          </w:p>
        </w:tc>
        <w:tc>
          <w:tcPr>
            <w:tcW w:w="2100" w:type="dxa"/>
          </w:tcPr>
          <w:p w14:paraId="4E179F2B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sz w:val="24"/>
                <w:szCs w:val="24"/>
              </w:rPr>
              <w:t>99.38 %</w:t>
            </w:r>
          </w:p>
        </w:tc>
        <w:tc>
          <w:tcPr>
            <w:tcW w:w="2100" w:type="dxa"/>
          </w:tcPr>
          <w:p w14:paraId="40B59A24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sz w:val="24"/>
                <w:szCs w:val="24"/>
              </w:rPr>
              <w:t>99.38 %</w:t>
            </w:r>
          </w:p>
        </w:tc>
        <w:tc>
          <w:tcPr>
            <w:tcW w:w="2400" w:type="dxa"/>
          </w:tcPr>
          <w:p w14:paraId="63D09DFC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Ya saturado desde el escenario base</w:t>
            </w:r>
          </w:p>
        </w:tc>
      </w:tr>
      <w:tr w14:paraId="1D32A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</w:tcPr>
          <w:p w14:paraId="5C6BC19F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% uso del Repartidor</w:t>
            </w:r>
          </w:p>
        </w:tc>
        <w:tc>
          <w:tcPr>
            <w:tcW w:w="2100" w:type="dxa"/>
          </w:tcPr>
          <w:p w14:paraId="7C8FFE85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32.92 %</w:t>
            </w:r>
          </w:p>
        </w:tc>
        <w:tc>
          <w:tcPr>
            <w:tcW w:w="2100" w:type="dxa"/>
          </w:tcPr>
          <w:p w14:paraId="64F8264C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32.92 %</w:t>
            </w:r>
          </w:p>
        </w:tc>
        <w:tc>
          <w:tcPr>
            <w:tcW w:w="2400" w:type="dxa"/>
          </w:tcPr>
          <w:p w14:paraId="1FC996BA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Sin cambio, con holgura en ambos</w:t>
            </w:r>
          </w:p>
        </w:tc>
      </w:tr>
      <w:tr w14:paraId="2154F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</w:tcPr>
          <w:p w14:paraId="02B38D4C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Espera promedio - Pedido y pago</w:t>
            </w:r>
          </w:p>
        </w:tc>
        <w:tc>
          <w:tcPr>
            <w:tcW w:w="2100" w:type="dxa"/>
          </w:tcPr>
          <w:p w14:paraId="026A54A8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0 min</w:t>
            </w:r>
          </w:p>
        </w:tc>
        <w:tc>
          <w:tcPr>
            <w:tcW w:w="2100" w:type="dxa"/>
          </w:tcPr>
          <w:p w14:paraId="39698578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80.0 min</w:t>
            </w:r>
          </w:p>
        </w:tc>
        <w:tc>
          <w:tcPr>
            <w:tcW w:w="2400" w:type="dxa"/>
          </w:tcPr>
          <w:p w14:paraId="1DF0EE74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Fila nueva, solo con alta demanda</w:t>
            </w:r>
          </w:p>
        </w:tc>
      </w:tr>
      <w:tr w14:paraId="348FE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</w:tcPr>
          <w:p w14:paraId="6E0C03C4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Espera promedio - Preparación</w:t>
            </w:r>
          </w:p>
        </w:tc>
        <w:tc>
          <w:tcPr>
            <w:tcW w:w="2100" w:type="dxa"/>
          </w:tcPr>
          <w:p w14:paraId="729D2E61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sz w:val="24"/>
                <w:szCs w:val="24"/>
              </w:rPr>
              <w:t>39.5 min</w:t>
            </w:r>
          </w:p>
        </w:tc>
        <w:tc>
          <w:tcPr>
            <w:tcW w:w="2100" w:type="dxa"/>
          </w:tcPr>
          <w:p w14:paraId="77C3A295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sz w:val="24"/>
                <w:szCs w:val="24"/>
              </w:rPr>
              <w:t>118.5 min</w:t>
            </w:r>
          </w:p>
        </w:tc>
        <w:tc>
          <w:tcPr>
            <w:tcW w:w="2400" w:type="dxa"/>
          </w:tcPr>
          <w:p w14:paraId="1C6AE1AB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Ya era cuello de botella en el escenario base</w:t>
            </w:r>
          </w:p>
        </w:tc>
      </w:tr>
      <w:tr w14:paraId="12F81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</w:tcPr>
          <w:p w14:paraId="333640EE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Espera promedio - Entrega</w:t>
            </w:r>
          </w:p>
        </w:tc>
        <w:tc>
          <w:tcPr>
            <w:tcW w:w="2100" w:type="dxa"/>
          </w:tcPr>
          <w:p w14:paraId="7EDA6519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0 min</w:t>
            </w:r>
          </w:p>
        </w:tc>
        <w:tc>
          <w:tcPr>
            <w:tcW w:w="2100" w:type="dxa"/>
          </w:tcPr>
          <w:p w14:paraId="4D4FC20E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0 min</w:t>
            </w:r>
          </w:p>
        </w:tc>
        <w:tc>
          <w:tcPr>
            <w:tcW w:w="2400" w:type="dxa"/>
          </w:tcPr>
          <w:p w14:paraId="642FF77C">
            <w:pPr>
              <w:jc w:val="both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>Sin cambio</w:t>
            </w:r>
          </w:p>
        </w:tc>
      </w:tr>
    </w:tbl>
    <w:p w14:paraId="5FC21180">
      <w:pPr>
        <w:jc w:val="both"/>
        <w:rPr>
          <w:rFonts w:hint="default" w:ascii="Arial" w:hAnsi="Arial" w:cs="Arial"/>
          <w:sz w:val="24"/>
          <w:szCs w:val="24"/>
        </w:rPr>
      </w:pPr>
    </w:p>
    <w:p w14:paraId="2F56B73F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sz w:val="24"/>
          <w:szCs w:val="24"/>
        </w:rPr>
        <w:t>El punto de congestión del sistema es la tarea "Preparación de alimentos", y ya está presente desde el escenario base: el Cocinero opera al 99.38% de su capacidad incluso con llegada de clientes cada 5 minutos, porque su tiempo de servicio (6 minutos) es mayor que el intervalo de llegada. Esto limita la capacidad máxima del sistema a aproximadamente 79-80 clientes atendidos por turno de 8 horas, sin importar cuántos clientes lleguen. Al subir la demanda, el Cocinero no puede saturarse más de lo que ya estaba, pero el Cajero pasa de 60% a 100% de uso, generando una segunda fila nueva en "Toma del pedido y pago" que no existía en el escenario base. "Entrega del pedido" no presenta congestión en ningún escenario (32.92% de uso del Repartidor).</w:t>
      </w:r>
    </w:p>
    <w:p w14:paraId="5C755881">
      <w:pPr>
        <w:jc w:val="both"/>
        <w:rPr>
          <w:rFonts w:hint="default" w:ascii="Arial" w:hAnsi="Arial" w:cs="Arial"/>
          <w:sz w:val="28"/>
          <w:szCs w:val="28"/>
        </w:rPr>
      </w:pPr>
    </w:p>
    <w:p w14:paraId="6FAC68C6">
      <w:pPr>
        <w:pStyle w:val="3"/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Conclusiones</w:t>
      </w:r>
    </w:p>
    <w:p w14:paraId="7086C2FA">
      <w:pPr>
        <w:numPr>
          <w:numId w:val="0"/>
        </w:numPr>
        <w:ind w:leftChars="0"/>
        <w:rPr>
          <w:rFonts w:hint="default"/>
        </w:rPr>
      </w:pPr>
    </w:p>
    <w:p w14:paraId="568981E6">
      <w:pPr>
        <w:jc w:val="both"/>
        <w:rPr>
          <w:rFonts w:hint="default" w:ascii="Arial" w:hAnsi="Arial" w:eastAsia="Arial" w:cs="Arial"/>
          <w:i w:val="0"/>
          <w:iCs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sz w:val="24"/>
          <w:szCs w:val="24"/>
        </w:rPr>
        <w:t>El sistema ya opera al límite de su capacidad de preparación desde el escenario base (81.4% de clientes atendidos, 50 minutos de permanencia promedio), y colapsa aún más bajo demanda alta (32.9% de clientes atendidos, 167 minutos de permanencia promedio) porque se añade una segunda fila crítica en caja. Esto confirma que la capacidad de servicio particularmente en preparación de alimentos</w:t>
      </w:r>
      <w:bookmarkStart w:id="0" w:name="_GoBack"/>
      <w:bookmarkEnd w:id="0"/>
      <w:r>
        <w:rPr>
          <w:rFonts w:hint="default" w:ascii="Arial" w:hAnsi="Arial" w:eastAsia="Arial" w:cs="Arial"/>
          <w:i w:val="0"/>
          <w:iCs w:val="0"/>
          <w:sz w:val="24"/>
          <w:szCs w:val="24"/>
        </w:rPr>
        <w:t xml:space="preserve"> es el factor limitante estructural del proceso, independientemente del nivel de demanda evaluado.</w:t>
      </w:r>
    </w:p>
    <w:p w14:paraId="4C0F6D31">
      <w:pPr>
        <w:jc w:val="both"/>
        <w:rPr>
          <w:rFonts w:hint="default" w:ascii="Arial" w:hAnsi="Arial" w:eastAsia="Arial" w:cs="Arial"/>
          <w:i w:val="0"/>
          <w:iCs w:val="0"/>
          <w:sz w:val="24"/>
          <w:szCs w:val="24"/>
        </w:rPr>
      </w:pPr>
    </w:p>
    <w:p w14:paraId="3402944F">
      <w:pPr>
        <w:jc w:val="both"/>
        <w:rPr>
          <w:rFonts w:hint="default" w:ascii="Arial" w:hAnsi="Arial" w:eastAsia="Arial" w:cs="Arial"/>
          <w:i w:val="0"/>
          <w:iCs w:val="0"/>
          <w:sz w:val="24"/>
          <w:szCs w:val="24"/>
        </w:rPr>
      </w:pPr>
    </w:p>
    <w:p w14:paraId="4DE0503C">
      <w:pPr>
        <w:jc w:val="both"/>
        <w:rPr>
          <w:rFonts w:hint="default" w:ascii="Arial" w:hAnsi="Arial" w:cs="Arial"/>
          <w:sz w:val="24"/>
          <w:szCs w:val="24"/>
        </w:rPr>
      </w:pPr>
    </w:p>
    <w:p w14:paraId="61216A87">
      <w:pPr>
        <w:pStyle w:val="3"/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Limitaciones</w:t>
      </w:r>
    </w:p>
    <w:p w14:paraId="6A4E85EE">
      <w:pPr>
        <w:numPr>
          <w:numId w:val="0"/>
        </w:numPr>
        <w:ind w:leftChars="0"/>
        <w:rPr>
          <w:rFonts w:hint="default"/>
        </w:rPr>
      </w:pPr>
    </w:p>
    <w:p w14:paraId="3289CA0C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sz w:val="24"/>
          <w:szCs w:val="24"/>
        </w:rPr>
        <w:t>• Los tiempos de servicio y de llegada son supuestos académicos, no mediciones reales del restaurante.</w:t>
      </w:r>
    </w:p>
    <w:p w14:paraId="04AAC87D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sz w:val="24"/>
          <w:szCs w:val="24"/>
        </w:rPr>
        <w:t>• Se usaron tiempos fijos (constantes) en la mayoría de las tareas, en lugar de distribuciones probabilísticas completas, por lo que la variabilidad natural del proceso real podría ser distinta a la del modelo.</w:t>
      </w:r>
    </w:p>
    <w:p w14:paraId="31EB7BBD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sz w:val="24"/>
          <w:szCs w:val="24"/>
        </w:rPr>
        <w:t>• El modelo no considera variaciones dentro del turno (horas pico dentro de las 8 horas), sino una tasa de llegada constante durante todo el periodo.</w:t>
      </w:r>
    </w:p>
    <w:p w14:paraId="54E098CC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sz w:val="24"/>
          <w:szCs w:val="24"/>
        </w:rPr>
        <w:t>• Solo se evaluaron dos niveles de demanda; no se probaron configuraciones intermedias ni combinaciones de recursos adicionales.</w:t>
      </w:r>
    </w:p>
    <w:p w14:paraId="5A28BF7C">
      <w:pPr>
        <w:jc w:val="both"/>
        <w:rPr>
          <w:rFonts w:hint="default" w:ascii="Arial" w:hAnsi="Arial" w:cs="Arial"/>
          <w:sz w:val="24"/>
          <w:szCs w:val="24"/>
        </w:rPr>
      </w:pPr>
    </w:p>
    <w:p w14:paraId="4C48F7EF">
      <w:pPr>
        <w:pStyle w:val="3"/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Propuesta de mejora</w:t>
      </w:r>
    </w:p>
    <w:p w14:paraId="3A9E2392">
      <w:pPr>
        <w:numPr>
          <w:numId w:val="0"/>
        </w:numPr>
        <w:ind w:leftChars="0"/>
        <w:rPr>
          <w:rFonts w:hint="default"/>
        </w:rPr>
      </w:pPr>
    </w:p>
    <w:p w14:paraId="235A1B85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sz w:val="24"/>
          <w:szCs w:val="24"/>
        </w:rPr>
        <w:t>La prioridad es reforzar "Preparación de alimentos" con un segundo Cocinero, ya que este recurso está saturado (99.38%) incluso en condiciones normales de demanda y define el techo real de clientes atendidos por turno. De forma complementaria, en escenarios de alta demanda también se recomienda evaluar un segundo Cajero, dado que alcanza 100% de utilización y genera una fila que no existe en el escenario base. El Repartidor no requiere refuerzo adicional bajo los escenarios evaluados (32.92% de uso en ambos).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FF3583"/>
    <w:multiLevelType w:val="singleLevel"/>
    <w:tmpl w:val="7BFF358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2E33B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801</Words>
  <Characters>4137</Characters>
  <TotalTime>2</TotalTime>
  <ScaleCrop>false</ScaleCrop>
  <LinksUpToDate>false</LinksUpToDate>
  <CharactersWithSpaces>4843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2026-09-04T03:26:00Z</dcterms:created>
  <dc:creator>Un-named</dc:creator>
  <cp:lastModifiedBy>Axxel hama</cp:lastModifiedBy>
  <dcterms:modified xsi:type="dcterms:W3CDTF">2026-09-04T04:01:28Z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eyJoZGlkIjoiYzc1ODkzMjUzODc1NjBmYzY5MjNlOTZhNGM2MWE2ZDUiLCJ1c2VySWQiOiIxNTExODMxNzQ2NDA4In0=</vt:lpwstr>
  </property>
  <property fmtid="{D5CDD505-2E9C-101B-9397-08002B2CF9AE}" pid="3" name="KSOProductBuildVer">
    <vt:lpwstr>2058-12.1.0.26880</vt:lpwstr>
  </property>
  <property fmtid="{D5CDD505-2E9C-101B-9397-08002B2CF9AE}" pid="4" name="ICV">
    <vt:lpwstr>1B3FD2870D0C43F6AAB1E9CD1D152645_12</vt:lpwstr>
  </property>
</Properties>
</file>