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VME-002</w:t>
      </w:r>
    </w:p>
    <w:p>
      <w:pPr>
        <w:pStyle w:val="Title"/>
        <w:jc w:val="center"/>
      </w:pPr>
      <w:r>
        <w:t>Análisis cuantitativo de riesgos</w:t>
      </w:r>
    </w:p>
    <w:p>
      <w:pPr>
        <w:jc w:val="center"/>
      </w:pPr>
      <w:r>
        <w:rPr>
          <w:b/>
          <w:sz w:val="22"/>
        </w:rPr>
        <w:t>ProcesMuebles</w:t>
      </w:r>
    </w:p>
    <w:p>
      <w:pPr>
        <w:jc w:val="center"/>
      </w:pPr>
      <w:r>
        <w:rPr>
          <w:b/>
          <w:color w:val="1F4E78"/>
          <w:sz w:val="18"/>
        </w:rPr>
        <w:t>ESTADO: ACADÉMICO</w:t>
      </w:r>
    </w:p>
    <w:p/>
    <w:p>
      <w:r>
        <w:t>Los importes siguientes son supuestos académicos para practicar Valor Monetario Esperado (VME). No representan pérdidas ni gastos reales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Impacto académico</w:t>
            </w:r>
          </w:p>
        </w:tc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VME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Retraso del plan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$1,500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$1,200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Datos insuficientes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$800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$400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Parámetros mal configurados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$1,200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$840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Inconsistencia documental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$700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$420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Cuello de botella sin mejora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$900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$630</w:t>
            </w:r>
          </w:p>
        </w:tc>
      </w:tr>
    </w:tbl>
    <w:p>
      <w:pPr>
        <w:pStyle w:val="Heading1"/>
      </w:pPr>
      <w:r>
        <w:t>Resultado</w:t>
      </w:r>
    </w:p>
    <w:p>
      <w:r>
        <w:t>VME académico total: $3,490 MXN. El mayor valor esperado corresponde al retraso del plan y a la configuración incorrecta del modelo; por ello se priorizan la recuperación del cronograma y la validación de la línea base.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